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5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</w:p>
    <w:p>
      <w:pPr>
        <w:pStyle w:val="5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  <w:r>
        <w:rPr>
          <w:rFonts w:hint="eastAsia" w:hAnsi="宋体"/>
          <w:b/>
          <w:bCs/>
          <w:color w:val="auto"/>
          <w:sz w:val="56"/>
          <w:szCs w:val="56"/>
        </w:rPr>
        <w:t>广东华昌</w:t>
      </w:r>
      <w:r>
        <w:rPr>
          <w:rFonts w:hint="eastAsia" w:hAnsi="宋体"/>
          <w:b/>
          <w:bCs/>
          <w:color w:val="auto"/>
          <w:sz w:val="56"/>
          <w:szCs w:val="56"/>
          <w:lang w:val="en-US" w:eastAsia="zh-CN"/>
        </w:rPr>
        <w:t>集团</w:t>
      </w:r>
      <w:r>
        <w:rPr>
          <w:rFonts w:hint="eastAsia" w:hAnsi="宋体"/>
          <w:b/>
          <w:bCs/>
          <w:color w:val="auto"/>
          <w:sz w:val="56"/>
          <w:szCs w:val="56"/>
        </w:rPr>
        <w:t>有限公司</w:t>
      </w:r>
    </w:p>
    <w:p>
      <w:pPr>
        <w:pStyle w:val="5"/>
        <w:spacing w:line="520" w:lineRule="exact"/>
        <w:jc w:val="center"/>
        <w:rPr>
          <w:rFonts w:hAnsi="宋体" w:cs="Times New Roman"/>
          <w:color w:val="auto"/>
          <w:sz w:val="36"/>
          <w:szCs w:val="36"/>
        </w:rPr>
      </w:pPr>
    </w:p>
    <w:p>
      <w:pPr>
        <w:numPr>
          <w:numId w:val="0"/>
        </w:numPr>
        <w:ind w:firstLine="2570" w:firstLineChars="800"/>
        <w:rPr>
          <w:color w:val="auto"/>
          <w:sz w:val="28"/>
          <w:szCs w:val="28"/>
          <w:u w:val="single"/>
          <w:lang w:val="en-US"/>
        </w:rPr>
      </w:pPr>
      <w:r>
        <w:rPr>
          <w:rFonts w:hint="eastAsia" w:hAnsi="宋体"/>
          <w:b/>
          <w:bCs/>
          <w:color w:val="auto"/>
          <w:sz w:val="32"/>
          <w:szCs w:val="32"/>
        </w:rPr>
        <w:t>招标编号：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>HCCGZB22007</w:t>
      </w:r>
    </w:p>
    <w:p>
      <w:pPr>
        <w:pStyle w:val="5"/>
        <w:spacing w:line="520" w:lineRule="exact"/>
        <w:jc w:val="center"/>
        <w:rPr>
          <w:rFonts w:hAnsi="宋体" w:cs="Times New Roman"/>
          <w:b/>
          <w:bCs/>
          <w:color w:val="auto"/>
          <w:sz w:val="32"/>
          <w:szCs w:val="32"/>
        </w:rPr>
      </w:pPr>
    </w:p>
    <w:p>
      <w:pPr>
        <w:pStyle w:val="5"/>
        <w:spacing w:line="520" w:lineRule="exact"/>
        <w:ind w:firstLine="2389" w:firstLineChars="850"/>
        <w:rPr>
          <w:rFonts w:hAnsi="宋体" w:cs="Times New Roman"/>
          <w:b/>
          <w:bCs/>
          <w:color w:val="auto"/>
          <w:sz w:val="28"/>
          <w:szCs w:val="28"/>
        </w:rPr>
      </w:pPr>
      <w:bookmarkStart w:id="0" w:name="_Toc256258444"/>
      <w:bookmarkEnd w:id="0"/>
      <w:bookmarkStart w:id="1" w:name="_Toc259184752"/>
      <w:bookmarkEnd w:id="1"/>
    </w:p>
    <w:p>
      <w:pPr>
        <w:rPr>
          <w:rFonts w:ascii="宋体" w:cs="Times New Roman"/>
          <w:b/>
          <w:bCs/>
          <w:color w:val="auto"/>
          <w:sz w:val="28"/>
          <w:szCs w:val="28"/>
        </w:rPr>
      </w:pPr>
    </w:p>
    <w:p>
      <w:pPr>
        <w:spacing w:line="920" w:lineRule="exact"/>
        <w:jc w:val="center"/>
        <w:rPr>
          <w:rFonts w:ascii="宋体" w:cs="Times New Roman"/>
          <w:color w:val="auto"/>
          <w:sz w:val="76"/>
          <w:szCs w:val="76"/>
        </w:rPr>
      </w:pPr>
      <w:r>
        <w:rPr>
          <w:rFonts w:hint="eastAsia" w:ascii="宋体" w:cs="Times New Roman"/>
          <w:b w:val="0"/>
          <w:bCs w:val="0"/>
          <w:i w:val="0"/>
          <w:iCs w:val="0"/>
          <w:color w:val="auto"/>
          <w:sz w:val="76"/>
          <w:szCs w:val="76"/>
          <w:lang w:val="en-US" w:eastAsia="zh-CN"/>
        </w:rPr>
        <w:t>粉末</w:t>
      </w:r>
      <w:r>
        <w:rPr>
          <w:rFonts w:hint="eastAsia" w:ascii="宋体" w:hAnsi="宋体" w:cs="宋体"/>
          <w:color w:val="auto"/>
          <w:sz w:val="76"/>
          <w:szCs w:val="76"/>
        </w:rPr>
        <w:t>招标文件</w:t>
      </w: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</w:rPr>
      </w:pP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招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标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人：广东华昌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集团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有限公司</w:t>
      </w: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  <w:u w:val="single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2022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年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月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08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日</w:t>
      </w: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  <w:r>
        <w:rPr>
          <w:rFonts w:hint="eastAsia" w:cs="宋体"/>
          <w:color w:val="auto"/>
        </w:rPr>
        <w:t>目</w:t>
      </w:r>
      <w:r>
        <w:rPr>
          <w:color w:val="auto"/>
        </w:rPr>
        <w:t xml:space="preserve">        </w:t>
      </w:r>
      <w:r>
        <w:rPr>
          <w:rFonts w:hint="eastAsia" w:cs="宋体"/>
          <w:color w:val="auto"/>
        </w:rPr>
        <w:t>录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第一章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投标邀请书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第二章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投标人须知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第三章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投标标的（附物资需求明细表）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第四章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质量要求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第五章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服务要求和检验要求</w:t>
      </w:r>
    </w:p>
    <w:p>
      <w:pPr>
        <w:widowControl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ascii="宋体" w:cs="Times New Roman"/>
          <w:b/>
          <w:bCs/>
          <w:color w:val="auto"/>
          <w:sz w:val="32"/>
          <w:szCs w:val="32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第一章 投标邀请书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本公司现进行年度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粉末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采购招标，邀请贵单位参与竞标。本次</w:t>
      </w:r>
      <w:r>
        <w:rPr>
          <w:rFonts w:hint="eastAsia" w:ascii="宋体" w:hAnsi="宋体" w:cs="宋体"/>
          <w:color w:val="auto"/>
          <w:sz w:val="28"/>
          <w:szCs w:val="28"/>
          <w:u w:val="single" w:color="auto"/>
          <w:lang w:val="en-US" w:eastAsia="zh-CN"/>
        </w:rPr>
        <w:t>粉末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招标为集中招标，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招标单位: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华昌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铝业集团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pStyle w:val="9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招标方法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：本招标文件为统一版本，适用于本次参与竞标的所有公司。招标文件通过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华昌官网、公众号及相关信息资讯平台发布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。投标人按照招标文件要求准备投标文件。我司收到标书后，依据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标结果与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中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标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签订年度采购合同。</w:t>
      </w:r>
    </w:p>
    <w:p>
      <w:pPr>
        <w:pStyle w:val="9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投标标书准备：</w:t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请收到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招标信息后自行按招标要求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编制标书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并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用文件袋密封好，快递或直接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到如下地址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收件人地址：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广东佛山市南海区狮山镇长虹岭工业园（二期）虹岭四路3号，邮编:528231，收件人: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>唐素娜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，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4．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时间要求：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开始时间：20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18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日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：00时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截止时间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20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28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日17:00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时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在规定时间内，竞标单位未能送达标书，视为自动弃标。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招标负责人：</w:t>
      </w:r>
    </w:p>
    <w:p>
      <w:pPr>
        <w:spacing w:line="360" w:lineRule="auto"/>
        <w:ind w:firstLine="691" w:firstLineChars="247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在准备投标标书过程中，如有疑问请联系本次招标负责人：</w:t>
      </w:r>
    </w:p>
    <w:p>
      <w:pPr>
        <w:widowControl/>
        <w:spacing w:line="360" w:lineRule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潘惠华13927750023、李明明13580455827、</w:t>
      </w:r>
      <w:r>
        <w:rPr>
          <w:rFonts w:hint="eastAsia" w:ascii="宋体" w:hAnsi="宋体" w:cs="宋体"/>
          <w:b w:val="0"/>
          <w:i w:val="0"/>
          <w:color w:val="222222"/>
          <w:spacing w:val="0"/>
          <w:sz w:val="28"/>
          <w:szCs w:val="28"/>
          <w:shd w:val="clear" w:color="auto" w:fill="FFFFFF"/>
          <w:lang w:val="en-US" w:eastAsia="zh-CN"/>
        </w:rPr>
        <w:t xml:space="preserve">唐素娜  </w:t>
      </w:r>
      <w:r>
        <w:rPr>
          <w:rFonts w:hint="eastAsia"/>
          <w:sz w:val="28"/>
          <w:szCs w:val="28"/>
        </w:rPr>
        <w:t>13925409936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、</w:t>
      </w: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第二章 投标人须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知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tbl>
      <w:tblPr>
        <w:tblW w:w="960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7"/>
        <w:gridCol w:w="5939"/>
      </w:tblGrid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条  款  名  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编  列  内  容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招标编号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numId w:val="0"/>
              </w:numPr>
              <w:ind w:firstLine="2240" w:firstLineChars="800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HCCGZB2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00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7</w:t>
            </w:r>
          </w:p>
        </w:tc>
      </w:tr>
      <w:tr>
        <w:trPr>
          <w:trHeight w:val="2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 w:color="auto"/>
                <w:lang w:val="en-US" w:eastAsia="zh-CN"/>
              </w:rPr>
              <w:t>粉末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名 称：广东华昌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地 址：广东佛山市南海区狮山镇长虹岭工业园（二期）虹岭四路3号</w:t>
            </w:r>
          </w:p>
          <w:p>
            <w:pPr>
              <w:numPr>
                <w:numId w:val="0"/>
              </w:numP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222222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 xml:space="preserve">唐素娜  </w:t>
            </w:r>
            <w:r>
              <w:rPr>
                <w:rFonts w:hint="eastAsia"/>
                <w:sz w:val="28"/>
                <w:szCs w:val="28"/>
              </w:rPr>
              <w:t>13925409936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、李明明13580455827、   潘惠华13927750023。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传  真：0757-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81827052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投标人应具备承担本招标物资生产供应能力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资格条件：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投标者必须是采用有中华人民共和国注册单位。具备铝合金建筑型材专用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 w:color="auto"/>
                <w:lang w:val="en-US" w:eastAsia="zh-CN"/>
              </w:rPr>
              <w:t>粉末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供货能力，并符合招标单位有关要求的法人资格单位。</w:t>
            </w:r>
          </w:p>
        </w:tc>
      </w:tr>
      <w:tr>
        <w:trPr>
          <w:trHeight w:val="17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ind w:left="840" w:hanging="780" w:hangingChars="300"/>
              <w:textAlignment w:val="baseline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1、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投标保证金的形式</w:t>
            </w: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：银行汇款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2、投标保证金的金额：投标保证金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贰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万元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3、银行汇款</w:t>
            </w:r>
          </w:p>
          <w:p>
            <w:pPr>
              <w:adjustRightInd w:val="0"/>
              <w:spacing w:line="440" w:lineRule="exact"/>
              <w:ind w:firstLine="560" w:firstLineChars="200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需将投标保证金电汇至指定账号（具体银行信息如下），同时须在汇款单据上注明招标编号及名称。投标人必须保证投标保证金在投标截止时间前即开标时间前到账，</w:t>
            </w:r>
          </w:p>
          <w:p>
            <w:pPr>
              <w:spacing w:line="5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户名称：广东华昌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 xml:space="preserve">有限公司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   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开户银行：广发银行股份有限公司佛山城南支行 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银行账户：9550 8800 4180 7900 181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签字或盖章要求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法定代表人或其委托代理人签字并盖单位章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装订要求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投标文件只需一份正本装订成册</w:t>
            </w:r>
          </w:p>
        </w:tc>
      </w:tr>
      <w:tr>
        <w:trPr>
          <w:trHeight w:val="1014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封套上写明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招标项目名称、招标编号和投标人全称，注明投哪些分公司，密封处应有密封章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递交投标文件地点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广东佛山市南海区狮山镇长虹岭工业园（二期）虹岭四路3号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是否退还投标文件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opLinePunct w:val="1"/>
              <w:adjustRightInd w:val="0"/>
              <w:spacing w:line="40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否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□是</w:t>
            </w:r>
          </w:p>
        </w:tc>
      </w:tr>
      <w:tr>
        <w:trPr>
          <w:trHeight w:val="10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开标时间和地点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开标时间：招标方另行安排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开标地点：广东华昌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开标程序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（1）密封情况检查：监督人检查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（2）开标顺序：统一开标登记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（3）投标人代表是否在开标记录上签字不影响开标记录的效力。</w:t>
            </w:r>
          </w:p>
        </w:tc>
      </w:tr>
      <w:tr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评标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（1）价格；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（2）投标单位资质；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（3）产品质量；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4）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售后服务承诺；</w:t>
            </w:r>
          </w:p>
        </w:tc>
      </w:tr>
      <w:tr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是否授权评标委员会</w:t>
            </w:r>
          </w:p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确定中标人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 xml:space="preserve">□否， </w:t>
            </w:r>
          </w:p>
        </w:tc>
      </w:tr>
      <w:tr>
        <w:trPr>
          <w:trHeight w:val="38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履约担保的形式：履约保证金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履约担保的金额：中标后投标保证金转为履约保证金</w:t>
            </w:r>
          </w:p>
        </w:tc>
      </w:tr>
    </w:tbl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</w:rPr>
        <w:t>投标人须知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1.投标单位的资格审查及有关事项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（1）资格条件：投标者必须是采用有中华人民共和国注册单位。具备铝合金建筑型材</w:t>
      </w:r>
      <w:r>
        <w:rPr>
          <w:rFonts w:hint="eastAsia" w:ascii="宋体" w:hAnsi="宋体" w:cs="宋体"/>
          <w:color w:val="auto"/>
          <w:sz w:val="28"/>
          <w:szCs w:val="28"/>
          <w:u w:val="single" w:color="auto"/>
          <w:lang w:val="en-US" w:eastAsia="zh-CN"/>
        </w:rPr>
        <w:t>粉末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的供货能力，并符合招标单位有关要求的法人资格单位。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（2）</w:t>
      </w:r>
      <w:r>
        <w:rPr>
          <w:rFonts w:hint="eastAsia" w:ascii="宋体" w:hAnsi="宋体" w:cs="宋体"/>
          <w:color w:val="FF0000"/>
          <w:sz w:val="28"/>
          <w:szCs w:val="28"/>
          <w:lang w:val="en-US" w:eastAsia="zh-CN"/>
        </w:rPr>
        <w:t>商务标书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资格审查文件内容：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1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①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法定代表人证明书，法人授权委托证明书，被授权人身份证复印件。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2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②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盖有单位公章的企业营业执照副本复印件和税务登记证（国税、地税）复印件、开户银行、账号、企业简介。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3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③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产品说明书、质量证明书。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4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④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各质量体系认证证书复印件。</w:t>
      </w: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5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⑤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/>
          <w:color w:val="FF0000"/>
          <w:sz w:val="28"/>
          <w:szCs w:val="28"/>
          <w:lang w:val="en-US" w:eastAsia="zh-CN"/>
        </w:rPr>
        <w:t>客户案例表、成本分析表和报价单（成本分析表格式参照附件，具本内容可根据实际情况作出修改）。</w:t>
      </w: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⑥能证明企业履约能力、信誉的材料。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经招标单位评标小组对被邀请单位资格进行审查，须符合上述资质条件的，方可确定为投标单位。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3）</w:t>
      </w:r>
      <w:r>
        <w:rPr>
          <w:rFonts w:hint="eastAsia"/>
          <w:color w:val="FF0000"/>
          <w:sz w:val="28"/>
          <w:szCs w:val="28"/>
          <w:lang w:val="en-US" w:eastAsia="zh-CN"/>
        </w:rPr>
        <w:t>技术标要求：相关成功案例。</w:t>
      </w:r>
      <w:bookmarkStart w:id="3" w:name="_GoBack"/>
      <w:bookmarkEnd w:id="3"/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）投标费用：投标商自行支付准备和递交投标书过程中所发生的一切费用，无论投标结果如何，招标单位对此费用不负任何责任。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招标文件的澄清和修改：招标单位对已发出的招标文件进行必要的澄清或者修改，应在招标文件要求提交投标文件截止时间前，视澄清或修改的内容而定，以书面形式通知或电话口头通知所有招标文件收受人，该澄清或修改的内容为招标文件的组成部份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2.如投标人之间采取不正当的手段哄抬产品价格，使招标人的利益蒙受损失，或投标人之间恶性竞争，不能按投标价格签订合同，则重新组织招标。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3.投标单位中标后，立即签订质量协议书和年度供货框架合同，并严格执行所有条款。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90" w:lineRule="atLeast"/>
        <w:ind w:left="0" w:right="0" w:firstLine="0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4.严禁投标单位对招标单位采购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及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相关部门人员进行行贿、宴请、馈赠礼品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围标、串标、悔标、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</w:rPr>
        <w:t>以他人名义投标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val="en-US" w:eastAsia="zh-CN"/>
        </w:rPr>
        <w:t>等不良行为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一经发现，取消投标及供应资格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并扣除全部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投标保证金。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.交货方式：根据广东华昌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有限公司下达的采购订单所要求的数量、规格及交期要求，将产品送达广东华昌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有限公司指定仓库。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6.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招标有效期：中标企业的供货资格和投标承诺有效期为合同签定后一年，因重大交货延误及严重供货质量原因被终止供货资格除外。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第三章  投标标的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numPr>
          <w:ilvl w:val="0"/>
          <w:numId w:val="2"/>
        </w:num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标的名称：</w:t>
      </w:r>
      <w:r>
        <w:rPr>
          <w:rFonts w:hint="eastAsia" w:ascii="宋体" w:hAnsi="宋体" w:cs="宋体"/>
          <w:color w:val="auto"/>
          <w:sz w:val="28"/>
          <w:szCs w:val="28"/>
          <w:u w:val="single" w:color="auto"/>
          <w:lang w:val="en-US" w:eastAsia="zh-CN"/>
        </w:rPr>
        <w:t>粉末</w:t>
      </w:r>
    </w:p>
    <w:tbl>
      <w:tblPr>
        <w:tblW w:w="77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15" w:type="dxa"/>
          <w:right w:w="15" w:type="dxa"/>
        </w:tblCellMar>
      </w:tblPr>
      <w:tblGrid>
        <w:gridCol w:w="1707"/>
        <w:gridCol w:w="3512"/>
        <w:gridCol w:w="2501"/>
      </w:tblGrid>
      <w:tr>
        <w:trPr>
          <w:trHeight w:val="452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序号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产品名称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含税价格</w:t>
            </w: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白色砂纹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低光白色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/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（光泽度25%-40%）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3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普通砂纹面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4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普通光面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5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普通高光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6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普通消光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54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7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普通金属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/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金属含量2%以内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54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8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普通金属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/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金属含量2%-5%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72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9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金属绑定5%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/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金属含量5%以上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/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特殊金属除外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54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10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鲜艳色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/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鲜黄、鲜红、紫色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11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沙面木纹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12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实色木纹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13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PU低粉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14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混合粉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15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光面木纹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16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立体木纹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17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刨花木纹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18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肌肤粉（黑白）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19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肌肤木纹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20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十年耐候粉（素色）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21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十年耐候粉（金属）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22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十五年耐候粉（素色）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23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十五年耐候粉（金属）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24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十年耐候木纹粉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54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25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氟碳素色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/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15年工程质保、20年颜色保证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72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26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氟碳金属（金属含量2%内，15年工程质保、20年颜色保证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795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27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氟树脂粉末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/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20年工程质保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</w:tbl>
    <w:p>
      <w:pPr>
        <w:numPr>
          <w:numId w:val="0"/>
        </w:numPr>
        <w:adjustRightInd w:val="0"/>
        <w:snapToGrid w:val="0"/>
        <w:spacing w:line="360" w:lineRule="auto"/>
        <w:rPr>
          <w:rFonts w:hint="eastAsia" w:ascii="Arial" w:hAnsi="Arial" w:cs="Arial"/>
          <w:b/>
          <w:bCs/>
          <w:color w:val="auto"/>
          <w:sz w:val="32"/>
          <w:szCs w:val="32"/>
        </w:rPr>
      </w:pPr>
      <w:r>
        <w:rPr>
          <w:rFonts w:hint="eastAsia" w:ascii="Arial" w:hAnsi="Arial" w:cs="Arial"/>
          <w:b/>
          <w:bCs/>
          <w:color w:val="auto"/>
          <w:sz w:val="32"/>
          <w:szCs w:val="32"/>
          <w:lang w:val="en-US" w:eastAsia="zh-CN"/>
        </w:rPr>
        <w:t>第四章</w:t>
      </w:r>
      <w:r>
        <w:rPr>
          <w:rFonts w:hint="eastAsia" w:ascii="Arial" w:hAnsi="Arial" w:cs="Arial"/>
          <w:b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Arial" w:hAnsi="Arial" w:cs="Arial"/>
          <w:b/>
          <w:bCs/>
          <w:color w:val="auto"/>
          <w:sz w:val="32"/>
          <w:szCs w:val="32"/>
        </w:rPr>
        <w:t>质量要求与技术参数</w:t>
      </w:r>
    </w:p>
    <w:p>
      <w:pPr>
        <w:spacing w:line="400" w:lineRule="exact"/>
        <w:jc w:val="left"/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1、符合第三章标的规格要求。</w:t>
      </w:r>
    </w:p>
    <w:p>
      <w:pPr>
        <w:spacing w:line="400" w:lineRule="exact"/>
        <w:ind w:left="640" w:hanging="640" w:hangingChars="200"/>
        <w:jc w:val="lef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根据本公司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粉末工艺要求并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符合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铝合金建筑型材专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用</w:t>
      </w:r>
      <w:r>
        <w:rPr>
          <w:rFonts w:hint="eastAsia" w:ascii="宋体" w:hAnsi="宋体" w:cs="宋体"/>
          <w:i w:val="0"/>
          <w:color w:val="333333"/>
          <w:kern w:val="0"/>
          <w:sz w:val="28"/>
          <w:szCs w:val="28"/>
          <w:u w:val="none"/>
          <w:lang w:val="en-US" w:eastAsia="zh-CN"/>
        </w:rPr>
        <w:t>粉末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质量标准要求，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第五章  其他条款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方提供产品时，应向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方提交产品检验报告单，其内容、格式由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、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双方商定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，最终按需方颁布的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进厂验收标准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为依据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方应备有产品的检查、试验等记录，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方需要时，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方应随时提供原件或复印件。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3.供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方提供每年度不少于1-2次由权威检测机构出具的检测报告，除此以外，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方可根据需要适当时在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方抽取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方产品委外检测，其费用由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方承担。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bookmarkStart w:id="2" w:name="OLE_LINK3"/>
      <w:r>
        <w:rPr>
          <w:rFonts w:hint="eastAsia" w:ascii="宋体" w:hAnsi="宋体" w:eastAsia="宋体" w:cs="宋体"/>
          <w:color w:val="auto"/>
          <w:sz w:val="28"/>
          <w:szCs w:val="28"/>
        </w:rPr>
        <w:t>服务要</w:t>
      </w:r>
      <w:bookmarkEnd w:id="2"/>
      <w:r>
        <w:rPr>
          <w:rFonts w:hint="eastAsia" w:ascii="宋体" w:hAnsi="宋体" w:eastAsia="宋体" w:cs="宋体"/>
          <w:color w:val="auto"/>
          <w:sz w:val="28"/>
          <w:szCs w:val="28"/>
        </w:rPr>
        <w:t>求：产品出现异常，华昌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要求供方到现场处理，供方必需在24小时内到达现场。有产品不合格退货必需在48小时内将合格产品送回甲方。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4.检验：每个批次的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在入厂时，由五金辅助材料仓库收货人员通知质检部，派人查验该批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，检验标准按照本标书的质量要求条款。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5.检验结果判定：（1）有任意一项技术要求检验项目结果为不合格，则判该批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不合格；（2）有任意一项型式检验项目或核查项目不符合的，按采购合同要求处理。</w:t>
      </w:r>
    </w:p>
    <w:p>
      <w:pPr>
        <w:numPr>
          <w:numId w:val="0"/>
        </w:num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6. 个别品种工程价、要求有备案交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供应中心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.送货地点：按本司要求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 标 人：广东华昌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有限公司</w:t>
      </w: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          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202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年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月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日</w:t>
      </w:r>
    </w:p>
    <w:sectPr>
      <w:headerReference r:id="rId4" w:type="default"/>
      <w:footerReference r:id="rId5" w:type="default"/>
      <w:pgSz w:w="11906" w:h="16838"/>
      <w:pgMar w:top="1279" w:right="1800" w:bottom="686" w:left="1800" w:header="231" w:footer="352" w:gutter="0"/>
      <w:pgNumType w:fmt="decimal" w:start="3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white-space:normal;text-indent:30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hite-space:normal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line-height:25pt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text-indent:32.45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text-indent:24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Gungsuh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Dotu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eiryo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Gungsuh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Guli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Guli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Dotu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DFKai-SB">
    <w:altName w:val="Microsoft JhengHei Light"/>
    <w:panose1 w:val="03000509000000000000"/>
    <w:charset w:val="88"/>
    <w:family w:val="auto"/>
    <w:pitch w:val="default"/>
    <w:sig w:usb0="00000000" w:usb1="00000000" w:usb2="00000016" w:usb3="00000000" w:csb0="00100001" w:csb1="00000000"/>
  </w:font>
  <w:font w:name="Batang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Meiryo UI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UniversCondensedBold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ans serif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lucida Grande">
    <w:altName w:val="Courier New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Cambria Math">
    <w:panose1 w:val="02040503050406030204"/>
    <w:charset w:val="01"/>
    <w:family w:val="auto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ËÎÌå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6"/>
      <w:rPr>
        <w:rFonts w:cs="Times New Roman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s4097" o:spid="_x0000_s1025" type="#_x0000_t202" style="position:absolute;left:0;margin-top:0pt;height:144pt;width:144pt;mso-position-horizontal:center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hint="eastAsia" w:eastAsia="宋体" w:cs="Times New Roman"/>
                    <w:sz w:val="18"/>
                    <w:szCs w:val="18"/>
                    <w:lang w:eastAsia="zh-CN"/>
                  </w:rPr>
                </w:pP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第 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begin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separate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>3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end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7"/>
      <w:ind w:firstLine="450" w:firstLineChars="250"/>
      <w:jc w:val="left"/>
      <w:rPr>
        <w:rFonts w:cs="Times New Roman"/>
        <w:lang w:val="en-US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i1025" o:spid="_x0000_s1026" alt="公司的logo（带字：华昌铝业集团l）" type="#_x0000_t75" style="height:66.3pt;width:93.9pt;rotation:0f;" o:ole="f" fillcolor="#FFFFFF" filled="f" o:preferrelative="t" stroked="f" coordorigin="0,0" coordsize="21600,21600">
          <v:fill on="f" color2="#FFFFFF" focus="0%"/>
          <v:imagedata gain="65536f" blacklevel="0f" gamma="0" o:title="" r:id="rId1"/>
          <o:lock v:ext="edit" position="f" selection="f" grouping="f" rotation="f" cropping="f" text="f" aspectratio="t"/>
          <w10:wrap type="none"/>
          <w10:anchorlock/>
        </v:shape>
      </w:pic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   </w:t>
    </w:r>
    <w:r>
      <w:rPr>
        <w:rFonts w:hint="eastAsia" w:hAnsi="宋体"/>
        <w:b/>
        <w:bCs/>
        <w:sz w:val="21"/>
        <w:szCs w:val="21"/>
      </w:rPr>
      <w:t>招标</w:t>
    </w:r>
    <w:r>
      <w:rPr>
        <w:rFonts w:hint="eastAsia" w:hAnsi="宋体"/>
        <w:b/>
        <w:bCs/>
        <w:sz w:val="21"/>
        <w:szCs w:val="21"/>
        <w:lang w:val="en-US" w:eastAsia="zh-CN"/>
      </w:rPr>
      <w:t>文件</w:t>
    </w:r>
  </w:p>
  <w:p>
    <w:pPr>
      <w:pStyle w:val="7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8">
    <w:nsid w:val="00000008"/>
    <w:multiLevelType w:val="multilevel"/>
    <w:tmpl w:val="00000008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0000000A"/>
    <w:multiLevelType w:val="singleLevel"/>
    <w:tmpl w:val="0000000A"/>
    <w:lvl w:ilvl="0" w:tentative="1">
      <w:start w:val="1"/>
      <w:numFmt w:val="decimal"/>
      <w:suff w:val="nothing"/>
      <w:lvlText w:val="%1."/>
      <w:lvlJc w:val="left"/>
    </w:lvl>
  </w:abstractNum>
  <w:num w:numId="1">
    <w:abstractNumId w:val="8"/>
  </w:num>
  <w:num w:numId="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rPr>
      <w:rFonts w:ascii="Times New Roman" w:hAnsi="Times New Roman" w:eastAsia="宋体" w:cs="Times New Roman"/>
    </w:rPr>
  </w:style>
  <w:style w:type="character" w:customStyle="1" w:styleId="3">
    <w:name w:val="正文文本 3 Char"/>
    <w:basedOn w:val="4"/>
    <w:link w:val="5"/>
    <w:semiHidden/>
    <w:rPr>
      <w:rFonts w:ascii="宋体" w:hAnsi="Times New Roman" w:eastAsia="宋体" w:cs="宋体"/>
      <w:sz w:val="20"/>
      <w:szCs w:val="20"/>
    </w:rPr>
  </w:style>
  <w:style w:type="paragraph" w:customStyle="1" w:styleId="5">
    <w:name w:val="Body Text 3"/>
    <w:basedOn w:val="1"/>
    <w:link w:val="14"/>
    <w:rPr>
      <w:sz w:val="16"/>
      <w:szCs w:val="16"/>
    </w:rPr>
  </w:style>
  <w:style w:type="paragraph" w:styleId="6">
    <w:name w:val="footer"/>
    <w:basedOn w:val="1"/>
    <w:link w:val="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4"/>
    <w:rPr>
      <w:color w:val="0000FF"/>
      <w:u w:val="single"/>
    </w:rPr>
  </w:style>
  <w:style w:type="paragraph" w:customStyle="1" w:styleId="9">
    <w:name w:val="List Paragraph1"/>
    <w:basedOn w:val="1"/>
    <w:pPr>
      <w:ind w:firstLine="420" w:firstLineChars="200"/>
    </w:pPr>
  </w:style>
  <w:style w:type="paragraph" w:customStyle="1" w:styleId="10">
    <w:name w:val="No Spacing1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11">
    <w:name w:val="列出段落1"/>
    <w:basedOn w:val="1"/>
    <w:pPr>
      <w:ind w:firstLine="420" w:firstLineChars="200"/>
    </w:pPr>
  </w:style>
  <w:style w:type="paragraph" w:customStyle="1" w:styleId="12">
    <w:name w:val="正文 A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val="none" w:color="000000"/>
    </w:rPr>
  </w:style>
  <w:style w:type="character" w:customStyle="1" w:styleId="13">
    <w:name w:val="page number"/>
    <w:basedOn w:val="4"/>
    <w:rPr/>
  </w:style>
  <w:style w:type="character" w:customStyle="1" w:styleId="14">
    <w:name w:val="Body Text 3 Char Char"/>
    <w:basedOn w:val="4"/>
    <w:link w:val="5"/>
    <w:semiHidden/>
    <w:rPr>
      <w:sz w:val="16"/>
      <w:szCs w:val="16"/>
    </w:rPr>
  </w:style>
  <w:style w:type="character" w:customStyle="1" w:styleId="15">
    <w:name w:val="Heading 1 Char"/>
    <w:basedOn w:val="4"/>
    <w:link w:val="2"/>
    <w:semiHidden/>
    <w:rPr>
      <w:b/>
      <w:bCs/>
      <w:kern w:val="44"/>
      <w:sz w:val="44"/>
      <w:szCs w:val="44"/>
    </w:rPr>
  </w:style>
  <w:style w:type="character" w:customStyle="1" w:styleId="16">
    <w:name w:val="Footer Char"/>
    <w:basedOn w:val="4"/>
    <w:link w:val="6"/>
    <w:semiHidden/>
    <w:rPr>
      <w:sz w:val="18"/>
      <w:szCs w:val="18"/>
    </w:rPr>
  </w:style>
  <w:style w:type="character" w:customStyle="1" w:styleId="17">
    <w:name w:val="Header Char"/>
    <w:basedOn w:val="4"/>
    <w:link w:val="7"/>
    <w:semiHidden/>
    <w:rPr>
      <w:sz w:val="18"/>
      <w:szCs w:val="18"/>
    </w:rPr>
  </w:style>
  <w:style w:type="character" w:customStyle="1" w:styleId="18">
    <w:name w:val="font11"/>
    <w:basedOn w:val="4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9">
    <w:name w:val="font31"/>
    <w:basedOn w:val="4"/>
    <w:rPr>
      <w:rFonts w:hint="eastAsia" w:ascii="宋体" w:hAnsi="宋体" w:eastAsia="宋体" w:cs="宋体"/>
      <w:color w:val="333333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 (Beijing) Limited</Company>
  <Pages>13</Pages>
  <Words>822</Words>
  <Characters>4689</Characters>
  <Lines>0</Lines>
  <Paragraphs>0</Paragraphs>
  <ScaleCrop>false</ScaleCrop>
  <LinksUpToDate>false</LinksUpToDate>
  <CharactersWithSpaces>0</CharactersWithSpaces>
  <Application>WPS Office 个人版_9.1.0.4180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2016-01-27T22:34:00Z</dcterms:created>
  <dc:creator>Lenovo User</dc:creator>
  <cp:lastPrinted>2016-05-08T22:32:00Z</cp:lastPrinted>
  <dcterms:modified xsi:type="dcterms:W3CDTF">2022-02-10T14:05:47Z</dcterms:modified>
  <dc:title>xxx-xxx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2052-9.1.0.4180</vt:lpwstr>
  </property>
</Properties>
</file>