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0"/>
        </w:tabs>
        <w:spacing w:line="360" w:lineRule="auto"/>
        <w:ind w:firstLine="3614" w:firstLineChars="1000"/>
        <w:jc w:val="both"/>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val="en-US" w:eastAsia="zh-CN"/>
        </w:rPr>
        <w:t>HCCGZB23051</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粉末</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eastAsia"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2023年12月1日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截标日期：2023年12月8日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6-9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11</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12-19</w:t>
      </w: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asciiTheme="majorEastAsia" w:hAnsiTheme="majorEastAsia" w:eastAsiaTheme="majorEastAsia" w:cstheme="majorEastAsia"/>
          <w:sz w:val="28"/>
          <w:szCs w:val="28"/>
          <w:lang w:val="en-US" w:eastAsia="zh-CN"/>
        </w:rPr>
        <w:t>HCCGZB23051</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宋体" w:hAnsi="宋体" w:eastAsia="宋体" w:cs="宋体"/>
          <w:color w:val="auto"/>
          <w:sz w:val="28"/>
          <w:szCs w:val="28"/>
          <w:u w:val="single"/>
          <w:lang w:val="en-US" w:eastAsia="zh-CN"/>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p>
    <w:tbl>
      <w:tblPr>
        <w:tblStyle w:val="11"/>
        <w:tblpPr w:leftFromText="180" w:rightFromText="180" w:vertAnchor="text" w:horzAnchor="page" w:tblpX="2022" w:tblpY="561"/>
        <w:tblOverlap w:val="never"/>
        <w:tblW w:w="77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1707"/>
        <w:gridCol w:w="3512"/>
        <w:gridCol w:w="25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2"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序号</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产品名称</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含税价格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白色砂纹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低光白色</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（光泽度25%-40%）</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3</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普通砂纹面</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4</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普通光面</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5</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普通高光</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6</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普通消光</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54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7</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普通金属</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金属含量2%以内</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54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8</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普通金属</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金属含量2%-5%</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2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9</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金属绑定5%</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金属含量5%以上</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特殊金属除外</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54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10</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鲜艳色</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鲜黄、鲜红、紫色</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11</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沙面木纹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12</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实色木纹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13</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PU低粉</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14</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混合粉</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15</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光面木纹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16</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立体木纹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17</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刨花木纹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18</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肌肤粉（黑白）</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19</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肌肤木纹</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20</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十年耐候粉（素色）</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21</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十年耐候粉（金属）</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22</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十年耐候木纹粉</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default" w:ascii="宋体" w:hAnsi="宋体" w:eastAsia="宋体"/>
                <w:b w:val="0"/>
                <w:i w:val="0"/>
                <w:color w:val="000000"/>
                <w:sz w:val="24"/>
                <w:szCs w:val="24"/>
                <w:u w:val="none"/>
                <w:lang w:eastAsia="zh-CN"/>
              </w:rPr>
              <w:t>2</w:t>
            </w:r>
            <w:r>
              <w:rPr>
                <w:rFonts w:hint="eastAsia" w:ascii="宋体" w:hAnsi="宋体"/>
                <w:b w:val="0"/>
                <w:i w:val="0"/>
                <w:color w:val="000000"/>
                <w:sz w:val="24"/>
                <w:szCs w:val="24"/>
                <w:u w:val="none"/>
                <w:lang w:val="en-US" w:eastAsia="zh-CN"/>
              </w:rPr>
              <w:t>3</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十五年耐候粉（素色）</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default" w:ascii="宋体" w:hAnsi="宋体" w:eastAsia="宋体"/>
                <w:b w:val="0"/>
                <w:i w:val="0"/>
                <w:color w:val="000000"/>
                <w:sz w:val="24"/>
                <w:szCs w:val="24"/>
                <w:u w:val="none"/>
                <w:lang w:eastAsia="zh-CN"/>
              </w:rPr>
              <w:t>2</w:t>
            </w:r>
            <w:r>
              <w:rPr>
                <w:rFonts w:hint="eastAsia" w:ascii="宋体" w:hAnsi="宋体"/>
                <w:b w:val="0"/>
                <w:i w:val="0"/>
                <w:color w:val="000000"/>
                <w:sz w:val="24"/>
                <w:szCs w:val="24"/>
                <w:u w:val="none"/>
                <w:lang w:val="en-US" w:eastAsia="zh-CN"/>
              </w:rPr>
              <w:t>4</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十五年耐候粉（金属）</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25</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eastAsia" w:ascii="宋体" w:hAnsi="宋体"/>
                <w:b w:val="0"/>
                <w:i w:val="0"/>
                <w:color w:val="000000"/>
                <w:sz w:val="24"/>
                <w:szCs w:val="24"/>
                <w:u w:val="none"/>
                <w:lang w:eastAsia="zh-CN"/>
              </w:rPr>
              <w:t>二十</w:t>
            </w:r>
            <w:r>
              <w:rPr>
                <w:rFonts w:hint="default" w:ascii="宋体" w:hAnsi="宋体" w:eastAsia="宋体"/>
                <w:b w:val="0"/>
                <w:i w:val="0"/>
                <w:color w:val="000000"/>
                <w:sz w:val="24"/>
                <w:szCs w:val="24"/>
                <w:u w:val="none"/>
                <w:lang w:eastAsia="zh-CN"/>
              </w:rPr>
              <w:t>年耐候粉（素色）</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26</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eastAsia" w:ascii="宋体" w:hAnsi="宋体"/>
                <w:b w:val="0"/>
                <w:i w:val="0"/>
                <w:color w:val="000000"/>
                <w:sz w:val="24"/>
                <w:szCs w:val="24"/>
                <w:u w:val="none"/>
                <w:lang w:eastAsia="zh-CN"/>
              </w:rPr>
              <w:t>二十</w:t>
            </w:r>
            <w:r>
              <w:rPr>
                <w:rFonts w:hint="default" w:ascii="宋体" w:hAnsi="宋体" w:eastAsia="宋体"/>
                <w:b w:val="0"/>
                <w:i w:val="0"/>
                <w:color w:val="000000"/>
                <w:sz w:val="24"/>
                <w:szCs w:val="24"/>
                <w:u w:val="none"/>
                <w:lang w:eastAsia="zh-CN"/>
              </w:rPr>
              <w:t>年耐候粉（金属）</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27</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氟碳素色</w:t>
            </w:r>
            <w:r>
              <w:rPr>
                <w:rFonts w:hint="default" w:ascii="宋体" w:hAnsi="宋体" w:eastAsia="宋体"/>
                <w:b w:val="0"/>
                <w:i w:val="0"/>
                <w:color w:val="000000"/>
                <w:sz w:val="24"/>
                <w:szCs w:val="24"/>
                <w:u w:val="none"/>
                <w:lang w:eastAsia="zh-CN"/>
              </w:rPr>
              <w:br w:type="textWrapping"/>
            </w:r>
            <w:r>
              <w:rPr>
                <w:rFonts w:hint="eastAsia" w:ascii="宋体" w:hAnsi="宋体"/>
                <w:b w:val="0"/>
                <w:i w:val="0"/>
                <w:color w:val="000000"/>
                <w:sz w:val="24"/>
                <w:szCs w:val="24"/>
                <w:u w:val="none"/>
                <w:lang w:eastAsia="zh-CN"/>
              </w:rPr>
              <w:t>（</w:t>
            </w:r>
            <w:r>
              <w:rPr>
                <w:rFonts w:hint="default" w:ascii="宋体" w:hAnsi="宋体" w:eastAsia="宋体"/>
                <w:b w:val="0"/>
                <w:i w:val="0"/>
                <w:color w:val="000000"/>
                <w:sz w:val="24"/>
                <w:szCs w:val="24"/>
                <w:u w:val="none"/>
                <w:lang w:eastAsia="zh-CN"/>
              </w:rPr>
              <w:t>1</w:t>
            </w:r>
            <w:r>
              <w:rPr>
                <w:rFonts w:hint="eastAsia" w:ascii="宋体" w:hAnsi="宋体"/>
                <w:b w:val="0"/>
                <w:i w:val="0"/>
                <w:color w:val="000000"/>
                <w:sz w:val="24"/>
                <w:szCs w:val="24"/>
                <w:u w:val="none"/>
                <w:lang w:val="en-US" w:eastAsia="zh-CN"/>
              </w:rPr>
              <w:t>0</w:t>
            </w:r>
            <w:r>
              <w:rPr>
                <w:rFonts w:hint="default" w:ascii="宋体" w:hAnsi="宋体" w:eastAsia="宋体"/>
                <w:b w:val="0"/>
                <w:i w:val="0"/>
                <w:color w:val="000000"/>
                <w:sz w:val="24"/>
                <w:szCs w:val="24"/>
                <w:u w:val="none"/>
                <w:lang w:eastAsia="zh-CN"/>
              </w:rPr>
              <w:t>年工程质保</w:t>
            </w:r>
            <w:r>
              <w:rPr>
                <w:rFonts w:hint="eastAsia" w:ascii="宋体" w:hAnsi="宋体"/>
                <w:b w:val="0"/>
                <w:i w:val="0"/>
                <w:color w:val="000000"/>
                <w:sz w:val="24"/>
                <w:szCs w:val="24"/>
                <w:u w:val="none"/>
                <w:lang w:eastAsia="zh-CN"/>
              </w:rPr>
              <w:t>）</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45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28</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氟碳金属（金属含量2%内，1</w:t>
            </w:r>
            <w:r>
              <w:rPr>
                <w:rFonts w:hint="eastAsia" w:ascii="宋体" w:hAnsi="宋体"/>
                <w:b w:val="0"/>
                <w:i w:val="0"/>
                <w:color w:val="000000"/>
                <w:sz w:val="24"/>
                <w:szCs w:val="24"/>
                <w:u w:val="none"/>
                <w:lang w:val="en-US" w:eastAsia="zh-CN"/>
              </w:rPr>
              <w:t>0</w:t>
            </w:r>
            <w:r>
              <w:rPr>
                <w:rFonts w:hint="default" w:ascii="宋体" w:hAnsi="宋体" w:eastAsia="宋体"/>
                <w:b w:val="0"/>
                <w:i w:val="0"/>
                <w:color w:val="000000"/>
                <w:sz w:val="24"/>
                <w:szCs w:val="24"/>
                <w:u w:val="none"/>
                <w:lang w:eastAsia="zh-CN"/>
              </w:rPr>
              <w:t>年工程质保</w:t>
            </w:r>
            <w:r>
              <w:rPr>
                <w:rFonts w:hint="eastAsia" w:ascii="宋体" w:hAnsi="宋体"/>
                <w:b w:val="0"/>
                <w:i w:val="0"/>
                <w:color w:val="000000"/>
                <w:sz w:val="24"/>
                <w:szCs w:val="24"/>
                <w:u w:val="none"/>
                <w:lang w:eastAsia="zh-CN"/>
              </w:rPr>
              <w:t>）</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54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default" w:ascii="宋体" w:hAnsi="宋体" w:eastAsia="宋体"/>
                <w:b w:val="0"/>
                <w:i w:val="0"/>
                <w:color w:val="000000"/>
                <w:sz w:val="24"/>
                <w:szCs w:val="24"/>
                <w:u w:val="none"/>
                <w:lang w:eastAsia="zh-CN"/>
              </w:rPr>
              <w:t>2</w:t>
            </w:r>
            <w:r>
              <w:rPr>
                <w:rFonts w:hint="eastAsia" w:ascii="宋体" w:hAnsi="宋体"/>
                <w:b w:val="0"/>
                <w:i w:val="0"/>
                <w:color w:val="000000"/>
                <w:sz w:val="24"/>
                <w:szCs w:val="24"/>
                <w:u w:val="none"/>
                <w:lang w:val="en-US" w:eastAsia="zh-CN"/>
              </w:rPr>
              <w:t>9</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氟碳素色</w:t>
            </w:r>
            <w:r>
              <w:rPr>
                <w:rFonts w:hint="default" w:ascii="宋体" w:hAnsi="宋体" w:eastAsia="宋体"/>
                <w:b w:val="0"/>
                <w:i w:val="0"/>
                <w:color w:val="000000"/>
                <w:sz w:val="24"/>
                <w:szCs w:val="24"/>
                <w:u w:val="none"/>
                <w:lang w:eastAsia="zh-CN"/>
              </w:rPr>
              <w:br w:type="textWrapping"/>
            </w:r>
            <w:r>
              <w:rPr>
                <w:rFonts w:hint="eastAsia" w:ascii="宋体" w:hAnsi="宋体"/>
                <w:b w:val="0"/>
                <w:i w:val="0"/>
                <w:color w:val="000000"/>
                <w:sz w:val="24"/>
                <w:szCs w:val="24"/>
                <w:u w:val="none"/>
                <w:lang w:eastAsia="zh-CN"/>
              </w:rPr>
              <w:t>（</w:t>
            </w:r>
            <w:r>
              <w:rPr>
                <w:rFonts w:hint="default" w:ascii="宋体" w:hAnsi="宋体" w:eastAsia="宋体"/>
                <w:b w:val="0"/>
                <w:i w:val="0"/>
                <w:color w:val="000000"/>
                <w:sz w:val="24"/>
                <w:szCs w:val="24"/>
                <w:u w:val="none"/>
                <w:lang w:eastAsia="zh-CN"/>
              </w:rPr>
              <w:t>15年工程质保</w:t>
            </w:r>
            <w:r>
              <w:rPr>
                <w:rFonts w:hint="eastAsia" w:ascii="宋体" w:hAnsi="宋体"/>
                <w:b w:val="0"/>
                <w:i w:val="0"/>
                <w:color w:val="000000"/>
                <w:sz w:val="24"/>
                <w:szCs w:val="24"/>
                <w:u w:val="none"/>
                <w:lang w:eastAsia="zh-CN"/>
              </w:rPr>
              <w:t>）</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2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30</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氟碳金属（金属含量2%内，15年工程质保</w:t>
            </w:r>
            <w:r>
              <w:rPr>
                <w:rFonts w:hint="eastAsia" w:ascii="宋体" w:hAnsi="宋体"/>
                <w:b w:val="0"/>
                <w:i w:val="0"/>
                <w:color w:val="000000"/>
                <w:sz w:val="24"/>
                <w:szCs w:val="24"/>
                <w:u w:val="none"/>
                <w:lang w:eastAsia="zh-CN"/>
              </w:rPr>
              <w:t>）</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2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31</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氟碳素色</w:t>
            </w:r>
            <w:r>
              <w:rPr>
                <w:rFonts w:hint="default" w:ascii="宋体" w:hAnsi="宋体" w:eastAsia="宋体"/>
                <w:b w:val="0"/>
                <w:i w:val="0"/>
                <w:color w:val="000000"/>
                <w:sz w:val="24"/>
                <w:szCs w:val="24"/>
                <w:u w:val="none"/>
                <w:lang w:eastAsia="zh-CN"/>
              </w:rPr>
              <w:br w:type="textWrapping"/>
            </w:r>
            <w:r>
              <w:rPr>
                <w:rFonts w:hint="eastAsia" w:ascii="宋体" w:hAnsi="宋体"/>
                <w:b w:val="0"/>
                <w:i w:val="0"/>
                <w:color w:val="000000"/>
                <w:sz w:val="24"/>
                <w:szCs w:val="24"/>
                <w:u w:val="none"/>
                <w:lang w:eastAsia="zh-CN"/>
              </w:rPr>
              <w:t>（</w:t>
            </w:r>
            <w:r>
              <w:rPr>
                <w:rFonts w:hint="eastAsia" w:ascii="宋体" w:hAnsi="宋体"/>
                <w:b w:val="0"/>
                <w:i w:val="0"/>
                <w:color w:val="000000"/>
                <w:sz w:val="24"/>
                <w:szCs w:val="24"/>
                <w:u w:val="none"/>
                <w:lang w:val="en-US" w:eastAsia="zh-CN"/>
              </w:rPr>
              <w:t>20</w:t>
            </w:r>
            <w:r>
              <w:rPr>
                <w:rFonts w:hint="default" w:ascii="宋体" w:hAnsi="宋体" w:eastAsia="宋体"/>
                <w:b w:val="0"/>
                <w:i w:val="0"/>
                <w:color w:val="000000"/>
                <w:sz w:val="24"/>
                <w:szCs w:val="24"/>
                <w:u w:val="none"/>
                <w:lang w:eastAsia="zh-CN"/>
              </w:rPr>
              <w:t>年工程质保</w:t>
            </w:r>
            <w:r>
              <w:rPr>
                <w:rFonts w:hint="eastAsia" w:ascii="宋体" w:hAnsi="宋体"/>
                <w:b w:val="0"/>
                <w:i w:val="0"/>
                <w:color w:val="000000"/>
                <w:sz w:val="24"/>
                <w:szCs w:val="24"/>
                <w:u w:val="none"/>
                <w:lang w:eastAsia="zh-CN"/>
              </w:rPr>
              <w:t>）</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20"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宋体" w:hAnsi="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32</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氟碳金属（金属含量2%内，</w:t>
            </w:r>
            <w:r>
              <w:rPr>
                <w:rFonts w:hint="eastAsia" w:ascii="宋体" w:hAnsi="宋体"/>
                <w:b w:val="0"/>
                <w:i w:val="0"/>
                <w:color w:val="000000"/>
                <w:sz w:val="24"/>
                <w:szCs w:val="24"/>
                <w:u w:val="none"/>
                <w:lang w:val="en-US" w:eastAsia="zh-CN"/>
              </w:rPr>
              <w:t>20</w:t>
            </w:r>
            <w:r>
              <w:rPr>
                <w:rFonts w:hint="default" w:ascii="宋体" w:hAnsi="宋体" w:eastAsia="宋体"/>
                <w:b w:val="0"/>
                <w:i w:val="0"/>
                <w:color w:val="000000"/>
                <w:sz w:val="24"/>
                <w:szCs w:val="24"/>
                <w:u w:val="none"/>
                <w:lang w:eastAsia="zh-CN"/>
              </w:rPr>
              <w:t>年工程质保</w:t>
            </w:r>
            <w:r>
              <w:rPr>
                <w:rFonts w:hint="eastAsia" w:ascii="宋体" w:hAnsi="宋体"/>
                <w:b w:val="0"/>
                <w:i w:val="0"/>
                <w:color w:val="000000"/>
                <w:sz w:val="24"/>
                <w:szCs w:val="24"/>
                <w:u w:val="none"/>
                <w:lang w:eastAsia="zh-CN"/>
              </w:rPr>
              <w:t>）</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95" w:hRule="atLeast"/>
        </w:trPr>
        <w:tc>
          <w:tcPr>
            <w:tcW w:w="1707"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val="0"/>
                <w:i w:val="0"/>
                <w:color w:val="000000"/>
                <w:sz w:val="24"/>
                <w:szCs w:val="24"/>
                <w:u w:val="none"/>
                <w:lang w:val="en-US" w:eastAsia="zh-CN"/>
              </w:rPr>
            </w:pPr>
            <w:r>
              <w:rPr>
                <w:rFonts w:hint="eastAsia" w:ascii="宋体" w:hAnsi="宋体"/>
                <w:b w:val="0"/>
                <w:i w:val="0"/>
                <w:color w:val="000000"/>
                <w:sz w:val="24"/>
                <w:szCs w:val="24"/>
                <w:u w:val="none"/>
                <w:lang w:val="en-US" w:eastAsia="zh-CN"/>
              </w:rPr>
              <w:t>33</w:t>
            </w:r>
          </w:p>
        </w:tc>
        <w:tc>
          <w:tcPr>
            <w:tcW w:w="3512"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default" w:ascii="宋体" w:hAnsi="宋体" w:eastAsia="宋体"/>
                <w:b w:val="0"/>
                <w:i w:val="0"/>
                <w:color w:val="000000"/>
                <w:sz w:val="24"/>
                <w:szCs w:val="24"/>
                <w:u w:val="none"/>
                <w:lang w:eastAsia="zh-CN"/>
              </w:rPr>
              <w:t>氟树脂粉末</w:t>
            </w:r>
            <w:r>
              <w:rPr>
                <w:rFonts w:hint="default" w:ascii="宋体" w:hAnsi="宋体" w:eastAsia="宋体"/>
                <w:b w:val="0"/>
                <w:i w:val="0"/>
                <w:color w:val="000000"/>
                <w:sz w:val="24"/>
                <w:szCs w:val="24"/>
                <w:u w:val="none"/>
                <w:lang w:eastAsia="zh-CN"/>
              </w:rPr>
              <w:br w:type="textWrapping"/>
            </w:r>
            <w:r>
              <w:rPr>
                <w:rFonts w:hint="default" w:ascii="宋体" w:hAnsi="宋体" w:eastAsia="宋体"/>
                <w:b w:val="0"/>
                <w:i w:val="0"/>
                <w:color w:val="000000"/>
                <w:sz w:val="24"/>
                <w:szCs w:val="24"/>
                <w:u w:val="none"/>
                <w:lang w:eastAsia="zh-CN"/>
              </w:rPr>
              <w:t>20年工程质保</w:t>
            </w:r>
          </w:p>
        </w:tc>
        <w:tc>
          <w:tcPr>
            <w:tcW w:w="2501" w:type="dxa"/>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95" w:hRule="atLeast"/>
        </w:trPr>
        <w:tc>
          <w:tcPr>
            <w:tcW w:w="7720" w:type="dxa"/>
            <w:gridSpan w:val="3"/>
            <w:tcBorders>
              <w:top w:val="single" w:color="000000" w:sz="4" w:space="0"/>
              <w:left w:val="single" w:color="000000" w:sz="4" w:space="0"/>
              <w:bottom w:val="single" w:color="000000" w:sz="4" w:space="0"/>
              <w:right w:val="single" w:color="000000" w:sz="4" w:space="0"/>
            </w:tcBorders>
            <w:vAlign w:val="center"/>
          </w:tcPr>
          <w:p>
            <w:pPr>
              <w:autoSpaceDN w:val="0"/>
              <w:jc w:val="left"/>
              <w:textAlignment w:val="center"/>
              <w:rPr>
                <w:rFonts w:hint="default" w:ascii="宋体" w:hAnsi="宋体" w:eastAsia="宋体"/>
                <w:b w:val="0"/>
                <w:i w:val="0"/>
                <w:color w:val="000000"/>
                <w:sz w:val="24"/>
                <w:szCs w:val="24"/>
                <w:u w:val="none"/>
                <w:lang w:eastAsia="zh-CN"/>
              </w:rPr>
            </w:pPr>
            <w:r>
              <w:rPr>
                <w:rFonts w:hint="eastAsia" w:cs="Calibri"/>
                <w:color w:val="FF0000"/>
                <w:kern w:val="2"/>
                <w:sz w:val="24"/>
                <w:szCs w:val="24"/>
                <w:lang w:val="en-US" w:eastAsia="zh-CN" w:bidi="ar-SA"/>
              </w:rPr>
              <w:t>备注：报价表以文档的形式拷贝一份放置U盘与标书同步（请不要调乱规格顺序，方便我司工作人员复制）</w:t>
            </w:r>
          </w:p>
        </w:tc>
      </w:tr>
    </w:tbl>
    <w:p>
      <w:pPr>
        <w:numPr>
          <w:ilvl w:val="0"/>
          <w:numId w:val="0"/>
        </w:numPr>
        <w:adjustRightInd w:val="0"/>
        <w:snapToGrid w:val="0"/>
        <w:spacing w:line="480" w:lineRule="exact"/>
        <w:rPr>
          <w:rFonts w:hint="eastAsia" w:ascii="宋体" w:hAnsi="宋体" w:eastAsia="宋体" w:cs="宋体"/>
          <w:color w:val="auto"/>
          <w:sz w:val="28"/>
          <w:szCs w:val="28"/>
          <w:u w:val="single"/>
          <w:lang w:val="en-US" w:eastAsia="zh-CN"/>
        </w:rPr>
      </w:pPr>
    </w:p>
    <w:p>
      <w:pPr>
        <w:adjustRightInd w:val="0"/>
        <w:snapToGrid w:val="0"/>
        <w:spacing w:line="240" w:lineRule="exact"/>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01</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08</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Theme="majorEastAsia" w:hAnsiTheme="majorEastAsia" w:eastAsiaTheme="majorEastAsia" w:cstheme="majorEastAsia"/>
          <w:sz w:val="28"/>
          <w:szCs w:val="28"/>
          <w:lang w:eastAsia="zh-CN"/>
        </w:rPr>
        <w:t>及交纳投标保证金</w:t>
      </w:r>
      <w:r>
        <w:rPr>
          <w:rFonts w:hint="eastAsia" w:ascii="宋体" w:hAnsi="宋体"/>
          <w:sz w:val="28"/>
          <w:szCs w:val="28"/>
        </w:rPr>
        <w:t>请用公司账号</w:t>
      </w:r>
      <w:r>
        <w:rPr>
          <w:rFonts w:hint="eastAsia" w:ascii="宋体" w:hAnsi="宋体"/>
          <w:sz w:val="28"/>
          <w:szCs w:val="28"/>
          <w:lang w:eastAsia="zh-CN"/>
        </w:rPr>
        <w:t>分明</w:t>
      </w:r>
      <w:r>
        <w:rPr>
          <w:rFonts w:hint="eastAsia" w:ascii="宋体" w:hAnsi="宋体"/>
          <w:sz w:val="28"/>
          <w:szCs w:val="28"/>
        </w:rPr>
        <w:t>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1、****标书文件费用，2、***</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 xml:space="preserve">            招标方联系人：唐素娜13925409936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12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08</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宋体" w:hAnsi="宋体" w:eastAsia="宋体" w:cs="宋体"/>
          <w:b w:val="0"/>
          <w:bCs w:val="0"/>
          <w:color w:val="auto"/>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tbl>
      <w:tblPr>
        <w:tblStyle w:val="11"/>
        <w:tblpPr w:leftFromText="180" w:rightFromText="180" w:vertAnchor="text" w:horzAnchor="page" w:tblpX="1528" w:tblpY="2520"/>
        <w:tblOverlap w:val="never"/>
        <w:tblW w:w="98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投标者必须是采用有中华人民共和国注册单位。具备铝合金建筑型材专用</w:t>
            </w:r>
            <w:r>
              <w:rPr>
                <w:rFonts w:hint="eastAsia" w:ascii="宋体" w:hAnsi="宋体" w:cs="宋体"/>
                <w:color w:val="auto"/>
                <w:sz w:val="28"/>
                <w:szCs w:val="28"/>
                <w:u w:val="single"/>
                <w:lang w:val="en-US" w:eastAsia="zh-CN"/>
              </w:rPr>
              <w:t>粉末</w:t>
            </w:r>
            <w:r>
              <w:rPr>
                <w:rFonts w:hint="eastAsia" w:ascii="宋体" w:hAnsi="宋体" w:eastAsia="宋体" w:cs="宋体"/>
                <w:color w:val="auto"/>
                <w:sz w:val="28"/>
                <w:szCs w:val="28"/>
                <w:u w:val="single"/>
                <w:lang w:val="en-US" w:eastAsia="zh-CN"/>
              </w:rPr>
              <w:t>的</w:t>
            </w:r>
            <w:r>
              <w:rPr>
                <w:rFonts w:hint="eastAsia" w:ascii="宋体" w:hAnsi="宋体" w:eastAsia="宋体" w:cs="宋体"/>
                <w:color w:val="auto"/>
                <w:sz w:val="28"/>
                <w:szCs w:val="28"/>
                <w:u w:val="single"/>
              </w:rPr>
              <w:t>供货能力，并符合招标单位有关要求的法人资格单位。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10" w:hRule="atLeast"/>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11"/>
        <w:tblpPr w:leftFromText="180" w:rightFromText="180" w:vertAnchor="text" w:horzAnchor="page" w:tblpX="1239" w:tblpY="360"/>
        <w:tblOverlap w:val="never"/>
        <w:tblW w:w="96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14" w:hRule="atLeast"/>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06" w:hRule="atLeast"/>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粉末</w:t>
      </w:r>
      <w:r>
        <w:rPr>
          <w:rFonts w:hint="eastAsia" w:ascii="宋体" w:hAnsi="宋体" w:eastAsia="宋体" w:cs="宋体"/>
          <w:color w:val="auto"/>
          <w:sz w:val="28"/>
          <w:szCs w:val="28"/>
          <w:u w:val="single"/>
        </w:rPr>
        <w:t>的供货能力，并符合招标单位有关要求的法人资格单位。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spacing w:line="400" w:lineRule="exact"/>
        <w:ind w:firstLine="2891" w:firstLineChars="900"/>
        <w:jc w:val="both"/>
        <w:rPr>
          <w:rFonts w:hint="eastAsia" w:ascii="Arial" w:hAnsi="Arial" w:cs="Arial"/>
          <w:b/>
          <w:bCs/>
          <w:color w:val="auto"/>
          <w:sz w:val="32"/>
          <w:szCs w:val="32"/>
        </w:rPr>
      </w:pPr>
      <w:r>
        <w:rPr>
          <w:rFonts w:hint="eastAsia" w:ascii="宋体" w:hAnsi="宋体" w:eastAsia="宋体" w:cs="宋体"/>
          <w:b/>
          <w:bCs/>
          <w:color w:val="auto"/>
          <w:sz w:val="32"/>
          <w:szCs w:val="32"/>
        </w:rPr>
        <w:t xml:space="preserve">第三章  </w:t>
      </w: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tbl>
      <w:tblPr>
        <w:tblStyle w:val="11"/>
        <w:tblpPr w:leftFromText="180" w:rightFromText="180" w:vertAnchor="text" w:horzAnchor="page" w:tblpX="1610" w:tblpY="1252"/>
        <w:tblOverlap w:val="never"/>
        <w:tblW w:w="8760" w:type="dxa"/>
        <w:tblInd w:w="0" w:type="dxa"/>
        <w:tblLayout w:type="fixed"/>
        <w:tblCellMar>
          <w:top w:w="0" w:type="dxa"/>
          <w:left w:w="108" w:type="dxa"/>
          <w:bottom w:w="0" w:type="dxa"/>
          <w:right w:w="108" w:type="dxa"/>
        </w:tblCellMar>
      </w:tblPr>
      <w:tblGrid>
        <w:gridCol w:w="960"/>
        <w:gridCol w:w="1920"/>
        <w:gridCol w:w="900"/>
        <w:gridCol w:w="780"/>
        <w:gridCol w:w="4200"/>
      </w:tblGrid>
      <w:tr>
        <w:tblPrEx>
          <w:tblLayout w:type="fixed"/>
          <w:tblCellMar>
            <w:top w:w="0" w:type="dxa"/>
            <w:left w:w="108" w:type="dxa"/>
            <w:bottom w:w="0" w:type="dxa"/>
            <w:right w:w="108" w:type="dxa"/>
          </w:tblCellMar>
        </w:tblPrEx>
        <w:trPr>
          <w:trHeight w:val="36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      项  目</w:t>
            </w:r>
          </w:p>
        </w:tc>
        <w:tc>
          <w:tcPr>
            <w:tcW w:w="1680" w:type="dxa"/>
            <w:gridSpan w:val="2"/>
            <w:tcBorders>
              <w:top w:val="single" w:color="auto" w:sz="8" w:space="0"/>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单位</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要  求</w:t>
            </w:r>
          </w:p>
        </w:tc>
      </w:tr>
      <w:tr>
        <w:tblPrEx>
          <w:tblLayout w:type="fixed"/>
          <w:tblCellMar>
            <w:top w:w="0" w:type="dxa"/>
            <w:left w:w="108" w:type="dxa"/>
            <w:bottom w:w="0" w:type="dxa"/>
            <w:right w:w="108" w:type="dxa"/>
          </w:tblCellMar>
        </w:tblPrEx>
        <w:trPr>
          <w:trHeight w:val="9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户外型聚酯树脂及其含量</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所用树脂原料必须是或优于DSM（帝斯曼）或CYTEC(氰特)两品牌的纯户外型聚酯树脂；其含量要求为：   平光粉 ≥58% ；砂纹粉 ≥56%</w:t>
            </w:r>
          </w:p>
        </w:tc>
      </w:tr>
      <w:tr>
        <w:tblPrEx>
          <w:tblLayout w:type="fixed"/>
          <w:tblCellMar>
            <w:top w:w="0" w:type="dxa"/>
            <w:left w:w="108" w:type="dxa"/>
            <w:bottom w:w="0" w:type="dxa"/>
            <w:right w:w="108" w:type="dxa"/>
          </w:tblCellMar>
        </w:tblPrEx>
        <w:trPr>
          <w:trHeight w:val="375" w:hRule="atLeast"/>
        </w:trPr>
        <w:tc>
          <w:tcPr>
            <w:tcW w:w="960" w:type="dxa"/>
            <w:vMerge w:val="restart"/>
            <w:tcBorders>
              <w:top w:val="nil"/>
              <w:left w:val="single" w:color="auto" w:sz="8" w:space="0"/>
              <w:bottom w:val="single" w:color="000000" w:sz="8" w:space="0"/>
              <w:right w:val="single" w:color="auto"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粒度分布</w:t>
            </w:r>
          </w:p>
        </w:tc>
        <w:tc>
          <w:tcPr>
            <w:tcW w:w="1920" w:type="dxa"/>
            <w:tcBorders>
              <w:top w:val="single" w:color="auto" w:sz="8" w:space="0"/>
              <w:left w:val="nil"/>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X</w:t>
            </w:r>
            <w:r>
              <w:rPr>
                <w:rFonts w:hint="eastAsia" w:ascii="宋体" w:hAnsi="宋体" w:cs="宋体"/>
                <w:kern w:val="0"/>
                <w:sz w:val="20"/>
                <w:szCs w:val="20"/>
                <w:vertAlign w:val="subscript"/>
              </w:rPr>
              <w:t>50</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um</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30-50</w:t>
            </w:r>
          </w:p>
        </w:tc>
      </w:tr>
      <w:tr>
        <w:tblPrEx>
          <w:tblLayout w:type="fixed"/>
          <w:tblCellMar>
            <w:top w:w="0" w:type="dxa"/>
            <w:left w:w="108" w:type="dxa"/>
            <w:bottom w:w="0" w:type="dxa"/>
            <w:right w:w="108" w:type="dxa"/>
          </w:tblCellMar>
        </w:tblPrEx>
        <w:trPr>
          <w:trHeight w:val="375" w:hRule="atLeast"/>
        </w:trPr>
        <w:tc>
          <w:tcPr>
            <w:tcW w:w="960"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kern w:val="0"/>
                <w:sz w:val="20"/>
                <w:szCs w:val="20"/>
              </w:rPr>
            </w:pPr>
          </w:p>
        </w:tc>
        <w:tc>
          <w:tcPr>
            <w:tcW w:w="1920" w:type="dxa"/>
            <w:tcBorders>
              <w:top w:val="single" w:color="auto" w:sz="8" w:space="0"/>
              <w:left w:val="nil"/>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X</w:t>
            </w:r>
            <w:r>
              <w:rPr>
                <w:rFonts w:hint="eastAsia" w:ascii="宋体" w:hAnsi="宋体" w:cs="宋体"/>
                <w:kern w:val="0"/>
                <w:sz w:val="20"/>
                <w:szCs w:val="20"/>
                <w:vertAlign w:val="subscript"/>
              </w:rPr>
              <w:t>10</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um</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10</w:t>
            </w:r>
          </w:p>
        </w:tc>
      </w:tr>
      <w:tr>
        <w:tblPrEx>
          <w:tblLayout w:type="fixed"/>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灰分</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≤45%</w:t>
            </w:r>
          </w:p>
        </w:tc>
      </w:tr>
      <w:tr>
        <w:tblPrEx>
          <w:tblLayout w:type="fixed"/>
          <w:tblCellMar>
            <w:top w:w="0" w:type="dxa"/>
            <w:left w:w="108" w:type="dxa"/>
            <w:bottom w:w="0" w:type="dxa"/>
            <w:right w:w="108" w:type="dxa"/>
          </w:tblCellMar>
        </w:tblPrEx>
        <w:trPr>
          <w:trHeight w:val="36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筛余物</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120目网筛无残余物</w:t>
            </w:r>
          </w:p>
        </w:tc>
      </w:tr>
      <w:tr>
        <w:tblPrEx>
          <w:tblLayout w:type="fixed"/>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密度</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g/cm</w:t>
            </w:r>
            <w:r>
              <w:rPr>
                <w:rFonts w:hint="eastAsia" w:ascii="宋体" w:hAnsi="宋体" w:cs="宋体"/>
                <w:kern w:val="0"/>
                <w:sz w:val="20"/>
                <w:szCs w:val="20"/>
                <w:vertAlign w:val="superscript"/>
              </w:rPr>
              <w:t>3</w:t>
            </w:r>
            <w:r>
              <w:rPr>
                <w:rFonts w:hint="eastAsia" w:ascii="宋体" w:hAnsi="宋体" w:cs="宋体"/>
                <w:kern w:val="0"/>
                <w:sz w:val="20"/>
                <w:szCs w:val="20"/>
              </w:rPr>
              <w:t xml:space="preserve"> </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1.0-1.8</w:t>
            </w:r>
          </w:p>
        </w:tc>
      </w:tr>
      <w:tr>
        <w:tblPrEx>
          <w:tblLayout w:type="fixed"/>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流化性（流动速率，R）</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g</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120-180</w:t>
            </w:r>
          </w:p>
        </w:tc>
      </w:tr>
      <w:tr>
        <w:tblPrEx>
          <w:tblLayout w:type="fixed"/>
          <w:tblCellMar>
            <w:top w:w="0" w:type="dxa"/>
            <w:left w:w="108" w:type="dxa"/>
            <w:bottom w:w="0" w:type="dxa"/>
            <w:right w:w="108" w:type="dxa"/>
          </w:tblCellMar>
        </w:tblPrEx>
        <w:trPr>
          <w:trHeight w:val="42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表面外观质量</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色泽均匀、干燥松散、无异物或结团现象</w:t>
            </w:r>
          </w:p>
        </w:tc>
      </w:tr>
      <w:tr>
        <w:tblPrEx>
          <w:tblLayout w:type="fixed"/>
          <w:tblCellMar>
            <w:top w:w="0" w:type="dxa"/>
            <w:left w:w="108" w:type="dxa"/>
            <w:bottom w:w="0" w:type="dxa"/>
            <w:right w:w="108" w:type="dxa"/>
          </w:tblCellMar>
        </w:tblPrEx>
        <w:trPr>
          <w:trHeight w:val="30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挥发物含量（120℃X30min）</w:t>
            </w:r>
          </w:p>
        </w:tc>
        <w:tc>
          <w:tcPr>
            <w:tcW w:w="1680" w:type="dxa"/>
            <w:gridSpan w:val="2"/>
            <w:tcBorders>
              <w:top w:val="nil"/>
              <w:left w:val="nil"/>
              <w:bottom w:val="single" w:color="auto"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≤0.6%</w:t>
            </w:r>
          </w:p>
        </w:tc>
      </w:tr>
      <w:tr>
        <w:tblPrEx>
          <w:tblLayout w:type="fixed"/>
          <w:tblCellMar>
            <w:top w:w="0" w:type="dxa"/>
            <w:left w:w="108" w:type="dxa"/>
            <w:bottom w:w="0" w:type="dxa"/>
            <w:right w:w="108" w:type="dxa"/>
          </w:tblCellMar>
        </w:tblPrEx>
        <w:trPr>
          <w:trHeight w:val="345" w:hRule="atLeast"/>
        </w:trPr>
        <w:tc>
          <w:tcPr>
            <w:tcW w:w="2880" w:type="dxa"/>
            <w:gridSpan w:val="2"/>
            <w:vMerge w:val="restart"/>
            <w:tcBorders>
              <w:top w:val="single" w:color="auto" w:sz="8" w:space="0"/>
              <w:left w:val="single" w:color="auto" w:sz="8" w:space="0"/>
              <w:bottom w:val="single" w:color="000000" w:sz="8" w:space="0"/>
              <w:right w:val="single" w:color="000000" w:sz="8"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重金属含量</w:t>
            </w:r>
          </w:p>
        </w:tc>
        <w:tc>
          <w:tcPr>
            <w:tcW w:w="1680" w:type="dxa"/>
            <w:gridSpan w:val="2"/>
            <w:vMerge w:val="restart"/>
            <w:tcBorders>
              <w:top w:val="nil"/>
              <w:left w:val="single" w:color="auto" w:sz="8" w:space="0"/>
              <w:bottom w:val="single" w:color="000000" w:sz="8" w:space="0"/>
              <w:right w:val="nil"/>
            </w:tcBorders>
            <w:vAlign w:val="center"/>
          </w:tcPr>
          <w:p>
            <w:pPr>
              <w:widowControl/>
              <w:jc w:val="center"/>
              <w:rPr>
                <w:rFonts w:ascii="宋体" w:hAnsi="宋体" w:cs="宋体"/>
                <w:kern w:val="0"/>
                <w:sz w:val="20"/>
                <w:szCs w:val="20"/>
              </w:rPr>
            </w:pPr>
            <w:r>
              <w:rPr>
                <w:rFonts w:hint="eastAsia" w:ascii="宋体" w:hAnsi="宋体" w:cs="宋体"/>
                <w:kern w:val="0"/>
                <w:sz w:val="20"/>
                <w:szCs w:val="20"/>
              </w:rPr>
              <w:t>mg/kg</w:t>
            </w:r>
          </w:p>
        </w:tc>
        <w:tc>
          <w:tcPr>
            <w:tcW w:w="4200" w:type="dxa"/>
            <w:tcBorders>
              <w:top w:val="single" w:color="auto" w:sz="4" w:space="0"/>
              <w:left w:val="single" w:color="auto" w:sz="4" w:space="0"/>
              <w:bottom w:val="nil"/>
              <w:right w:val="single" w:color="000000"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可溶性铅≤90； 可溶性镉≤75；</w:t>
            </w:r>
          </w:p>
        </w:tc>
      </w:tr>
      <w:tr>
        <w:tblPrEx>
          <w:tblLayout w:type="fixed"/>
          <w:tblCellMar>
            <w:top w:w="0" w:type="dxa"/>
            <w:left w:w="108" w:type="dxa"/>
            <w:bottom w:w="0" w:type="dxa"/>
            <w:right w:w="108" w:type="dxa"/>
          </w:tblCellMar>
        </w:tblPrEx>
        <w:trPr>
          <w:trHeight w:val="345" w:hRule="atLeast"/>
        </w:trPr>
        <w:tc>
          <w:tcPr>
            <w:tcW w:w="2880" w:type="dxa"/>
            <w:gridSpan w:val="2"/>
            <w:vMerge w:val="continue"/>
            <w:tcBorders>
              <w:top w:val="single" w:color="auto" w:sz="8" w:space="0"/>
              <w:left w:val="single" w:color="auto" w:sz="8" w:space="0"/>
              <w:bottom w:val="single" w:color="000000" w:sz="8" w:space="0"/>
              <w:right w:val="single" w:color="000000" w:sz="8" w:space="0"/>
            </w:tcBorders>
            <w:vAlign w:val="center"/>
          </w:tcPr>
          <w:p>
            <w:pPr>
              <w:widowControl/>
              <w:jc w:val="left"/>
              <w:rPr>
                <w:rFonts w:ascii="宋体" w:hAnsi="宋体" w:cs="宋体"/>
                <w:kern w:val="0"/>
                <w:sz w:val="20"/>
                <w:szCs w:val="20"/>
              </w:rPr>
            </w:pPr>
          </w:p>
        </w:tc>
        <w:tc>
          <w:tcPr>
            <w:tcW w:w="1680" w:type="dxa"/>
            <w:gridSpan w:val="2"/>
            <w:vMerge w:val="continue"/>
            <w:tcBorders>
              <w:top w:val="nil"/>
              <w:left w:val="single" w:color="auto" w:sz="8" w:space="0"/>
              <w:bottom w:val="single" w:color="000000" w:sz="8" w:space="0"/>
              <w:right w:val="nil"/>
            </w:tcBorders>
            <w:vAlign w:val="center"/>
          </w:tcPr>
          <w:p>
            <w:pPr>
              <w:widowControl/>
              <w:jc w:val="left"/>
              <w:rPr>
                <w:rFonts w:ascii="宋体" w:hAnsi="宋体" w:cs="宋体"/>
                <w:kern w:val="0"/>
                <w:sz w:val="20"/>
                <w:szCs w:val="20"/>
              </w:rPr>
            </w:pPr>
          </w:p>
        </w:tc>
        <w:tc>
          <w:tcPr>
            <w:tcW w:w="4200" w:type="dxa"/>
            <w:tcBorders>
              <w:top w:val="nil"/>
              <w:left w:val="single" w:color="auto" w:sz="4" w:space="0"/>
              <w:bottom w:val="single" w:color="auto" w:sz="4" w:space="0"/>
              <w:right w:val="single" w:color="000000"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可溶性铬≤60； 可溶性汞≤60</w:t>
            </w:r>
          </w:p>
        </w:tc>
      </w:tr>
      <w:tr>
        <w:tblPrEx>
          <w:tblLayout w:type="fixed"/>
          <w:tblCellMar>
            <w:top w:w="0" w:type="dxa"/>
            <w:left w:w="108" w:type="dxa"/>
            <w:bottom w:w="0" w:type="dxa"/>
            <w:right w:w="108" w:type="dxa"/>
          </w:tblCellMar>
        </w:tblPrEx>
        <w:trPr>
          <w:trHeight w:val="645" w:hRule="atLeast"/>
        </w:trPr>
        <w:tc>
          <w:tcPr>
            <w:tcW w:w="2880" w:type="dxa"/>
            <w:gridSpan w:val="2"/>
            <w:vMerge w:val="restart"/>
            <w:tcBorders>
              <w:top w:val="single" w:color="auto" w:sz="8" w:space="0"/>
              <w:left w:val="single" w:color="auto" w:sz="8" w:space="0"/>
              <w:bottom w:val="single" w:color="000000" w:sz="8" w:space="0"/>
              <w:right w:val="single" w:color="000000" w:sz="8"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涂膜</w:t>
            </w:r>
          </w:p>
        </w:tc>
        <w:tc>
          <w:tcPr>
            <w:tcW w:w="900" w:type="dxa"/>
            <w:tcBorders>
              <w:top w:val="nil"/>
              <w:left w:val="nil"/>
              <w:bottom w:val="single" w:color="auto" w:sz="8" w:space="0"/>
              <w:right w:val="single" w:color="auto" w:sz="8"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色差</w:t>
            </w:r>
          </w:p>
        </w:tc>
        <w:tc>
          <w:tcPr>
            <w:tcW w:w="780" w:type="dxa"/>
            <w:tcBorders>
              <w:top w:val="nil"/>
              <w:left w:val="nil"/>
              <w:bottom w:val="single" w:color="auto" w:sz="8" w:space="0"/>
              <w:right w:val="nil"/>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0"/>
                <w:szCs w:val="20"/>
              </w:rPr>
            </w:pPr>
            <w:r>
              <w:rPr>
                <w:rFonts w:hint="eastAsia" w:ascii="宋体" w:hAnsi="宋体" w:cs="宋体"/>
                <w:color w:val="auto"/>
                <w:kern w:val="0"/>
                <w:sz w:val="20"/>
                <w:szCs w:val="20"/>
              </w:rPr>
              <w:t>常规颜色打板要求色差不高于0.5</w:t>
            </w:r>
            <w:r>
              <w:rPr>
                <w:color w:val="auto"/>
                <w:kern w:val="0"/>
                <w:sz w:val="20"/>
                <w:szCs w:val="20"/>
              </w:rPr>
              <w:t xml:space="preserve"> </w:t>
            </w:r>
            <w:r>
              <w:rPr>
                <w:rFonts w:hint="eastAsia" w:ascii="宋体" w:hAnsi="宋体" w:cs="宋体"/>
                <w:color w:val="auto"/>
                <w:kern w:val="0"/>
                <w:sz w:val="20"/>
                <w:szCs w:val="20"/>
              </w:rPr>
              <w:t>，正常供粉保持与色板间色差不高于1.0</w:t>
            </w:r>
            <w:r>
              <w:rPr>
                <w:color w:val="auto"/>
                <w:kern w:val="0"/>
                <w:sz w:val="20"/>
                <w:szCs w:val="20"/>
              </w:rPr>
              <w:t xml:space="preserve"> </w:t>
            </w:r>
            <w:r>
              <w:rPr>
                <w:rFonts w:hint="eastAsia" w:ascii="宋体" w:hAnsi="宋体" w:cs="宋体"/>
                <w:color w:val="auto"/>
                <w:kern w:val="0"/>
                <w:sz w:val="20"/>
                <w:szCs w:val="20"/>
              </w:rPr>
              <w:t>，特殊颜色另外商定</w:t>
            </w:r>
          </w:p>
        </w:tc>
      </w:tr>
      <w:tr>
        <w:tblPrEx>
          <w:tblLayout w:type="fixed"/>
          <w:tblCellMar>
            <w:top w:w="0" w:type="dxa"/>
            <w:left w:w="108" w:type="dxa"/>
            <w:bottom w:w="0" w:type="dxa"/>
            <w:right w:w="108" w:type="dxa"/>
          </w:tblCellMar>
        </w:tblPrEx>
        <w:trPr>
          <w:trHeight w:val="465" w:hRule="atLeast"/>
        </w:trPr>
        <w:tc>
          <w:tcPr>
            <w:tcW w:w="2880" w:type="dxa"/>
            <w:gridSpan w:val="2"/>
            <w:vMerge w:val="continue"/>
            <w:tcBorders>
              <w:top w:val="single" w:color="auto" w:sz="8" w:space="0"/>
              <w:left w:val="single" w:color="auto" w:sz="8" w:space="0"/>
              <w:bottom w:val="single" w:color="000000" w:sz="8" w:space="0"/>
              <w:right w:val="single" w:color="000000" w:sz="8" w:space="0"/>
            </w:tcBorders>
            <w:vAlign w:val="center"/>
          </w:tcPr>
          <w:p>
            <w:pPr>
              <w:widowControl/>
              <w:jc w:val="left"/>
              <w:rPr>
                <w:rFonts w:ascii="宋体" w:hAnsi="宋体" w:cs="宋体"/>
                <w:color w:val="auto"/>
                <w:kern w:val="0"/>
                <w:sz w:val="20"/>
                <w:szCs w:val="20"/>
              </w:rPr>
            </w:pPr>
          </w:p>
        </w:tc>
        <w:tc>
          <w:tcPr>
            <w:tcW w:w="900" w:type="dxa"/>
            <w:tcBorders>
              <w:top w:val="nil"/>
              <w:left w:val="nil"/>
              <w:bottom w:val="single" w:color="auto" w:sz="8" w:space="0"/>
              <w:right w:val="single" w:color="auto" w:sz="8"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性能</w:t>
            </w:r>
          </w:p>
        </w:tc>
        <w:tc>
          <w:tcPr>
            <w:tcW w:w="780" w:type="dxa"/>
            <w:tcBorders>
              <w:top w:val="nil"/>
              <w:left w:val="nil"/>
              <w:bottom w:val="single" w:color="auto" w:sz="8" w:space="0"/>
              <w:right w:val="nil"/>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0"/>
                <w:szCs w:val="20"/>
              </w:rPr>
            </w:pPr>
            <w:r>
              <w:rPr>
                <w:rFonts w:hint="eastAsia" w:ascii="宋体" w:hAnsi="宋体" w:cs="宋体"/>
                <w:color w:val="auto"/>
                <w:kern w:val="0"/>
                <w:sz w:val="20"/>
                <w:szCs w:val="20"/>
              </w:rPr>
              <w:t>符合GB 5237.4-2017及GB/T 8013.3规定</w:t>
            </w:r>
          </w:p>
        </w:tc>
      </w:tr>
      <w:tr>
        <w:tblPrEx>
          <w:tblLayout w:type="fixed"/>
          <w:tblCellMar>
            <w:top w:w="0" w:type="dxa"/>
            <w:left w:w="108" w:type="dxa"/>
            <w:bottom w:w="0" w:type="dxa"/>
            <w:right w:w="108" w:type="dxa"/>
          </w:tblCellMar>
        </w:tblPrEx>
        <w:trPr>
          <w:trHeight w:val="51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贮存稳定性</w:t>
            </w:r>
          </w:p>
        </w:tc>
        <w:tc>
          <w:tcPr>
            <w:tcW w:w="1680" w:type="dxa"/>
            <w:gridSpan w:val="2"/>
            <w:tcBorders>
              <w:top w:val="nil"/>
              <w:left w:val="nil"/>
              <w:bottom w:val="single" w:color="auto" w:sz="8" w:space="0"/>
              <w:right w:val="nil"/>
            </w:tcBorders>
            <w:vAlign w:val="center"/>
          </w:tcPr>
          <w:p>
            <w:pPr>
              <w:widowControl/>
              <w:jc w:val="center"/>
              <w:rPr>
                <w:rFonts w:ascii="宋体" w:hAnsi="宋体" w:cs="宋体"/>
                <w:color w:val="auto"/>
                <w:kern w:val="0"/>
                <w:sz w:val="20"/>
                <w:szCs w:val="20"/>
              </w:rPr>
            </w:pPr>
            <w:r>
              <w:rPr>
                <w:rFonts w:hint="eastAsia" w:ascii="宋体" w:hAnsi="宋体" w:cs="宋体"/>
                <w:color w:val="auto"/>
                <w:kern w:val="0"/>
                <w:sz w:val="20"/>
                <w:szCs w:val="20"/>
              </w:rPr>
              <w:t>级</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 w:val="20"/>
                <w:szCs w:val="20"/>
              </w:rPr>
            </w:pPr>
            <w:r>
              <w:rPr>
                <w:rFonts w:hint="eastAsia" w:ascii="宋体" w:hAnsi="宋体" w:cs="宋体"/>
                <w:color w:val="auto"/>
                <w:kern w:val="0"/>
                <w:sz w:val="20"/>
                <w:szCs w:val="20"/>
              </w:rPr>
              <w:t>贮存稳定性等级≤2级，且两试板外观无明显差异</w:t>
            </w:r>
          </w:p>
        </w:tc>
      </w:tr>
      <w:tr>
        <w:tblPrEx>
          <w:tblLayout w:type="fixed"/>
          <w:tblCellMar>
            <w:top w:w="0" w:type="dxa"/>
            <w:left w:w="108" w:type="dxa"/>
            <w:bottom w:w="0" w:type="dxa"/>
            <w:right w:w="108" w:type="dxa"/>
          </w:tblCellMar>
        </w:tblPrEx>
        <w:trPr>
          <w:trHeight w:val="510" w:hRule="atLeast"/>
        </w:trPr>
        <w:tc>
          <w:tcPr>
            <w:tcW w:w="2880" w:type="dxa"/>
            <w:gridSpan w:val="2"/>
            <w:tcBorders>
              <w:top w:val="single" w:color="auto" w:sz="8" w:space="0"/>
              <w:left w:val="single" w:color="auto" w:sz="8" w:space="0"/>
              <w:bottom w:val="single" w:color="auto" w:sz="8" w:space="0"/>
              <w:right w:val="single" w:color="000000" w:sz="8" w:space="0"/>
            </w:tcBorders>
            <w:vAlign w:val="center"/>
          </w:tcPr>
          <w:p>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使用效果</w:t>
            </w:r>
          </w:p>
          <w:p>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（使用过程对环境设备人员的影响）</w:t>
            </w:r>
          </w:p>
        </w:tc>
        <w:tc>
          <w:tcPr>
            <w:tcW w:w="1680" w:type="dxa"/>
            <w:gridSpan w:val="2"/>
            <w:tcBorders>
              <w:top w:val="nil"/>
              <w:left w:val="nil"/>
              <w:bottom w:val="single" w:color="auto" w:sz="8" w:space="0"/>
              <w:right w:val="nil"/>
            </w:tcBorders>
            <w:vAlign w:val="center"/>
          </w:tcPr>
          <w:p>
            <w:pPr>
              <w:widowControl/>
              <w:jc w:val="center"/>
              <w:rPr>
                <w:rFonts w:hint="eastAsia" w:ascii="宋体" w:hAnsi="宋体" w:cs="宋体"/>
                <w:color w:val="auto"/>
                <w:kern w:val="0"/>
                <w:sz w:val="20"/>
                <w:szCs w:val="20"/>
              </w:rPr>
            </w:pPr>
            <w:r>
              <w:rPr>
                <w:rFonts w:hint="eastAsia" w:ascii="宋体" w:hAnsi="宋体" w:cs="宋体"/>
                <w:color w:val="auto"/>
                <w:kern w:val="0"/>
                <w:sz w:val="20"/>
                <w:szCs w:val="20"/>
              </w:rPr>
              <w:t>---</w:t>
            </w:r>
          </w:p>
        </w:tc>
        <w:tc>
          <w:tcPr>
            <w:tcW w:w="420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宋体" w:hAnsi="宋体" w:cs="宋体"/>
                <w:color w:val="auto"/>
                <w:kern w:val="0"/>
                <w:sz w:val="20"/>
                <w:szCs w:val="20"/>
              </w:rPr>
            </w:pPr>
            <w:r>
              <w:rPr>
                <w:rFonts w:hint="eastAsia" w:ascii="宋体" w:hAnsi="宋体" w:cs="宋体"/>
                <w:color w:val="auto"/>
                <w:kern w:val="0"/>
                <w:sz w:val="20"/>
                <w:szCs w:val="20"/>
              </w:rPr>
              <w:t>正常生产不应有明显烟雾、刺鼻异味或絮状物释放</w:t>
            </w:r>
          </w:p>
        </w:tc>
      </w:tr>
    </w:tbl>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确保提供的产品符合国家标准或企业标准的质量要求，并满足甲方用于生产建筑铝合金型材（GB5237.4-2017）的质量要求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19"/>
        <w:numPr>
          <w:ilvl w:val="0"/>
          <w:numId w:val="0"/>
        </w:numPr>
        <w:tabs>
          <w:tab w:val="left" w:pos="7200"/>
          <w:tab w:val="left" w:pos="7560"/>
          <w:tab w:val="left" w:pos="7980"/>
          <w:tab w:val="left" w:pos="8400"/>
          <w:tab w:val="left" w:pos="8820"/>
          <w:tab w:val="left" w:pos="9240"/>
          <w:tab w:val="left" w:pos="9660"/>
          <w:tab w:val="left" w:pos="9698"/>
        </w:tabs>
        <w:spacing w:line="500" w:lineRule="exact"/>
        <w:ind w:leftChars="0"/>
        <w:jc w:val="both"/>
        <w:rPr>
          <w:rFonts w:hint="eastAsia" w:ascii="宋体" w:hAnsi="宋体"/>
          <w:b/>
          <w:bCs/>
          <w:color w:val="auto"/>
          <w:sz w:val="21"/>
          <w:szCs w:val="21"/>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left="838" w:leftChars="399" w:firstLine="280" w:firstLineChars="100"/>
        <w:jc w:val="left"/>
        <w:rPr>
          <w:rFonts w:hint="eastAsia" w:ascii="宋体" w:hAnsi="宋体" w:eastAsia="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3、</w:t>
      </w:r>
      <w:r>
        <w:rPr>
          <w:rFonts w:hint="eastAsia" w:ascii="宋体" w:hAnsi="宋体" w:eastAsia="宋体" w:cs="宋体"/>
          <w:b w:val="0"/>
          <w:bCs w:val="0"/>
          <w:color w:val="auto"/>
          <w:sz w:val="28"/>
          <w:szCs w:val="28"/>
          <w:u w:val="none"/>
          <w:lang w:val="en-US" w:eastAsia="zh-CN"/>
        </w:rPr>
        <w:t>经济指标要求</w:t>
      </w:r>
    </w:p>
    <w:p>
      <w:pPr>
        <w:spacing w:line="400" w:lineRule="exact"/>
        <w:ind w:left="559" w:leftChars="266" w:firstLine="0" w:firstLineChars="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28"/>
          <w:szCs w:val="28"/>
          <w:u w:val="none"/>
          <w:lang w:val="en-US" w:eastAsia="zh-CN"/>
        </w:rPr>
        <w:t>废粉率不高于5%、粉末消耗不高于40 kg/吨</w:t>
      </w:r>
      <w:r>
        <w:rPr>
          <w:rFonts w:hint="eastAsia" w:ascii="宋体" w:hAnsi="宋体" w:cs="宋体"/>
          <w:b w:val="0"/>
          <w:bCs w:val="0"/>
          <w:color w:val="auto"/>
          <w:sz w:val="28"/>
          <w:szCs w:val="28"/>
          <w:u w:val="none"/>
          <w:lang w:val="en-US" w:eastAsia="zh-CN"/>
        </w:rPr>
        <w:t>。</w:t>
      </w: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p>
    <w:p>
      <w:pPr>
        <w:spacing w:line="400" w:lineRule="exact"/>
        <w:jc w:val="both"/>
        <w:rPr>
          <w:rFonts w:hint="eastAsia" w:ascii="宋体" w:hAnsi="宋体" w:eastAsia="宋体" w:cs="宋体"/>
          <w:b/>
          <w:bCs/>
          <w:color w:val="auto"/>
          <w:sz w:val="32"/>
          <w:szCs w:val="32"/>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pStyle w:val="3"/>
        <w:snapToGrid w:val="0"/>
        <w:spacing w:line="420" w:lineRule="atLeast"/>
        <w:ind w:firstLine="0"/>
        <w:jc w:val="both"/>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11"/>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jc w:val="both"/>
        <w:rPr>
          <w:rFonts w:hint="eastAsia" w:ascii="宋体" w:hAnsi="宋体"/>
          <w:sz w:val="28"/>
          <w:szCs w:val="28"/>
        </w:rPr>
      </w:pPr>
    </w:p>
    <w:p>
      <w:pPr>
        <w:spacing w:line="480" w:lineRule="exact"/>
        <w:ind w:firstLine="420" w:firstLineChars="200"/>
        <w:jc w:val="left"/>
        <w:rPr>
          <w:rFonts w:hint="default" w:ascii="宋体" w:hAnsi="宋体" w:eastAsia="宋体"/>
          <w:b/>
          <w:bCs/>
          <w:sz w:val="28"/>
          <w:szCs w:val="28"/>
          <w:lang w:val="en-US" w:eastAsia="zh-CN"/>
        </w:rPr>
      </w:pPr>
      <w:r>
        <w:drawing>
          <wp:inline distT="0" distB="0" distL="114300" distR="114300">
            <wp:extent cx="487045" cy="188595"/>
            <wp:effectExtent l="0" t="0" r="8255" b="1905"/>
            <wp:docPr id="2" name="图片 1" descr="公司的logo（带字：华昌铝业集团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公司的logo（带字：华昌铝业集团l）"/>
                    <pic:cNvPicPr>
                      <a:picLocks noChangeAspect="1"/>
                    </pic:cNvPicPr>
                  </pic:nvPicPr>
                  <pic:blipFill>
                    <a:blip r:embed="rId13"/>
                    <a:stretch>
                      <a:fillRect/>
                    </a:stretch>
                  </pic:blipFill>
                  <pic:spPr>
                    <a:xfrm>
                      <a:off x="0" y="0"/>
                      <a:ext cx="487045" cy="188595"/>
                    </a:xfrm>
                    <a:prstGeom prst="rect">
                      <a:avLst/>
                    </a:prstGeom>
                  </pic:spPr>
                </pic:pic>
              </a:graphicData>
            </a:graphic>
          </wp:inline>
        </w:drawing>
      </w:r>
      <w:r>
        <w:rPr>
          <w:rFonts w:hint="eastAsia"/>
          <w:lang w:val="en-US" w:eastAsia="zh-CN"/>
        </w:rPr>
        <w:t xml:space="preserve">                               </w:t>
      </w:r>
      <w:r>
        <w:rPr>
          <w:rFonts w:hint="eastAsia" w:ascii="宋体" w:hAnsi="宋体"/>
          <w:b/>
          <w:bCs/>
          <w:sz w:val="28"/>
          <w:szCs w:val="28"/>
          <w:lang w:val="en-US" w:eastAsia="zh-CN"/>
        </w:rPr>
        <w:t>供应商登记表</w:t>
      </w:r>
    </w:p>
    <w:tbl>
      <w:tblPr>
        <w:tblStyle w:val="11"/>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11"/>
        <w:tblW w:w="9315" w:type="dxa"/>
        <w:tblInd w:w="2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11"/>
        <w:tblW w:w="9746" w:type="dxa"/>
        <w:tblInd w:w="0" w:type="dxa"/>
        <w:shd w:val="clear" w:color="auto" w:fill="auto"/>
        <w:tblLayout w:type="fixed"/>
        <w:tblCellMar>
          <w:top w:w="0" w:type="dxa"/>
          <w:left w:w="0" w:type="dxa"/>
          <w:bottom w:w="0" w:type="dxa"/>
          <w:right w:w="0" w:type="dxa"/>
        </w:tblCellMar>
      </w:tblPr>
      <w:tblGrid>
        <w:gridCol w:w="1378"/>
        <w:gridCol w:w="1504"/>
        <w:gridCol w:w="1367"/>
        <w:gridCol w:w="1463"/>
        <w:gridCol w:w="4033"/>
        <w:gridCol w:w="1"/>
      </w:tblGrid>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68"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50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5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5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含税单价</w:t>
            </w:r>
          </w:p>
        </w:tc>
      </w:tr>
      <w:tr>
        <w:tblPrEx>
          <w:tblLayout w:type="fixed"/>
          <w:tblCellMar>
            <w:top w:w="0" w:type="dxa"/>
            <w:left w:w="0" w:type="dxa"/>
            <w:bottom w:w="0" w:type="dxa"/>
            <w:right w:w="0" w:type="dxa"/>
          </w:tblCellMar>
        </w:tblPrEx>
        <w:trPr>
          <w:trHeight w:val="720"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utoSpaceDN w:val="0"/>
              <w:jc w:val="center"/>
              <w:textAlignment w:val="center"/>
              <w:rPr>
                <w:rFonts w:hint="eastAsia" w:ascii="宋体" w:hAnsi="宋体" w:eastAsia="宋体" w:cs="宋体"/>
                <w:i w:val="0"/>
                <w:color w:val="000000"/>
                <w:sz w:val="24"/>
                <w:szCs w:val="24"/>
                <w:u w:val="none"/>
                <w:lang w:val="en-US" w:eastAsia="zh-CN"/>
              </w:rPr>
            </w:pPr>
            <w:r>
              <w:rPr>
                <w:rFonts w:hint="default" w:ascii="宋体" w:hAnsi="宋体" w:eastAsia="宋体"/>
                <w:b w:val="0"/>
                <w:i w:val="0"/>
                <w:color w:val="000000"/>
                <w:sz w:val="24"/>
                <w:szCs w:val="24"/>
                <w:u w:val="none"/>
                <w:lang w:eastAsia="zh-CN"/>
              </w:rPr>
              <w:t>普通砂纹面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687" w:hRule="atLeast"/>
        </w:trPr>
        <w:tc>
          <w:tcPr>
            <w:tcW w:w="13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33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utoSpaceDN w:val="0"/>
              <w:jc w:val="center"/>
              <w:textAlignment w:val="center"/>
              <w:rPr>
                <w:rFonts w:hint="eastAsia" w:ascii="宋体" w:hAnsi="宋体" w:eastAsia="宋体" w:cs="宋体"/>
                <w:i w:val="0"/>
                <w:color w:val="000000"/>
                <w:sz w:val="24"/>
                <w:szCs w:val="24"/>
                <w:u w:val="none"/>
              </w:rPr>
            </w:pPr>
            <w:r>
              <w:rPr>
                <w:rFonts w:hint="default" w:ascii="宋体" w:hAnsi="宋体" w:eastAsia="宋体"/>
                <w:b w:val="0"/>
                <w:i w:val="0"/>
                <w:color w:val="000000"/>
                <w:sz w:val="24"/>
                <w:szCs w:val="24"/>
                <w:u w:val="none"/>
                <w:lang w:eastAsia="zh-CN"/>
              </w:rPr>
              <w:t>普通光面</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见第一章（粉末报价格式表）</w:t>
            </w:r>
            <w:bookmarkStart w:id="1" w:name="_GoBack"/>
            <w:bookmarkEnd w:id="1"/>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981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1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NuoUAgAAFQ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v+E26h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2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2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JoQU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P1JoQ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3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3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RBrfcU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5EGt9xQCAAAV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489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98489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Q+LJJ2AAAAAoBAAAPAAAA&#10;AAAAAAEAIAAAACIAAABkcnMvZG93bnJldi54bWxQSwECFAAUAAAACACHTuJApuk6GBUCAAAVBAAA&#10;DgAAAAAAAAABACAAAAAnAQAAZHJzL2Uyb0RvYy54bWxQSwUGAAAAAAYABgBZAQAArg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592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98592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0n1gTYAAAACgEAAA8A&#10;AAAAAAAAAQAgAAAAIgAAAGRycy9kb3ducmV2LnhtbFBLAQIUABQAAAAIAIdO4kDkrel+FwIAABUE&#10;AAAOAAAAAAAAAAEAIAAAACcBAABkcnMvZTJvRG9jLnhtbFBLBQYAAAAABgAGAFkBAACw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796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98796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4A6sTXAAAACQEA&#10;AA8AAAAAAAAAAQAgAAAAIgAAAGRycy9kb3ducmV2LnhtbFBLAQIUABQAAAAIAIdO4kC9B8qcGwIA&#10;ABUEAAAOAAAAAAAAAAEAIAAAACYBAABkcnMvZTJvRG9jLnhtbFBLBQYAAAAABgAGAFkBAACzBQAA&#10;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988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9889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44CAF"/>
    <w:rsid w:val="020E404D"/>
    <w:rsid w:val="035F0CD7"/>
    <w:rsid w:val="04796D3F"/>
    <w:rsid w:val="04D27967"/>
    <w:rsid w:val="050313BA"/>
    <w:rsid w:val="0549495F"/>
    <w:rsid w:val="063A67C6"/>
    <w:rsid w:val="0741405A"/>
    <w:rsid w:val="07FC5179"/>
    <w:rsid w:val="092E2AC5"/>
    <w:rsid w:val="09933971"/>
    <w:rsid w:val="09EF09E2"/>
    <w:rsid w:val="0A8726C7"/>
    <w:rsid w:val="0AD15D3F"/>
    <w:rsid w:val="0D57245A"/>
    <w:rsid w:val="0E7B1552"/>
    <w:rsid w:val="0E942F6A"/>
    <w:rsid w:val="0EE60642"/>
    <w:rsid w:val="0EF86860"/>
    <w:rsid w:val="0FE635BB"/>
    <w:rsid w:val="11BC327E"/>
    <w:rsid w:val="128662C4"/>
    <w:rsid w:val="13067DF6"/>
    <w:rsid w:val="13323D3C"/>
    <w:rsid w:val="136E6FD4"/>
    <w:rsid w:val="13971CE4"/>
    <w:rsid w:val="14466AF7"/>
    <w:rsid w:val="1512138A"/>
    <w:rsid w:val="15305535"/>
    <w:rsid w:val="19FD4B06"/>
    <w:rsid w:val="1B1414D1"/>
    <w:rsid w:val="1B7C7AD4"/>
    <w:rsid w:val="1CAC1659"/>
    <w:rsid w:val="1FBC3FDA"/>
    <w:rsid w:val="20924EA0"/>
    <w:rsid w:val="21590EC5"/>
    <w:rsid w:val="23F8465C"/>
    <w:rsid w:val="24982B9A"/>
    <w:rsid w:val="25D56F4F"/>
    <w:rsid w:val="273C785D"/>
    <w:rsid w:val="288A76EB"/>
    <w:rsid w:val="28B76C92"/>
    <w:rsid w:val="2977626E"/>
    <w:rsid w:val="2A7A5DA4"/>
    <w:rsid w:val="2B7F521A"/>
    <w:rsid w:val="2DFD46ED"/>
    <w:rsid w:val="2E522A49"/>
    <w:rsid w:val="2E9279F7"/>
    <w:rsid w:val="307A45B2"/>
    <w:rsid w:val="31E35BCD"/>
    <w:rsid w:val="32072C28"/>
    <w:rsid w:val="321F2060"/>
    <w:rsid w:val="32382080"/>
    <w:rsid w:val="35A14D57"/>
    <w:rsid w:val="36A47C97"/>
    <w:rsid w:val="383C4E70"/>
    <w:rsid w:val="39205692"/>
    <w:rsid w:val="3AC80714"/>
    <w:rsid w:val="3BF25054"/>
    <w:rsid w:val="3C667C28"/>
    <w:rsid w:val="3CC62562"/>
    <w:rsid w:val="3DE2133D"/>
    <w:rsid w:val="3F9D7542"/>
    <w:rsid w:val="3FFC49B6"/>
    <w:rsid w:val="404E1741"/>
    <w:rsid w:val="406C03D1"/>
    <w:rsid w:val="42764D51"/>
    <w:rsid w:val="42FF028A"/>
    <w:rsid w:val="43D32A6C"/>
    <w:rsid w:val="44D9176C"/>
    <w:rsid w:val="45A76B4F"/>
    <w:rsid w:val="465826DB"/>
    <w:rsid w:val="46F71E3A"/>
    <w:rsid w:val="47602C3A"/>
    <w:rsid w:val="499E0979"/>
    <w:rsid w:val="49C169D3"/>
    <w:rsid w:val="4A2B1E16"/>
    <w:rsid w:val="4A550B96"/>
    <w:rsid w:val="4C0066D9"/>
    <w:rsid w:val="4E9A7E84"/>
    <w:rsid w:val="4F6653C2"/>
    <w:rsid w:val="50B974A9"/>
    <w:rsid w:val="522F027F"/>
    <w:rsid w:val="531978D3"/>
    <w:rsid w:val="53B26A0F"/>
    <w:rsid w:val="53E87E47"/>
    <w:rsid w:val="55B21FEB"/>
    <w:rsid w:val="56465389"/>
    <w:rsid w:val="57D6272B"/>
    <w:rsid w:val="594B39CB"/>
    <w:rsid w:val="5BC0724A"/>
    <w:rsid w:val="5CCA6EA5"/>
    <w:rsid w:val="5DEA7DE8"/>
    <w:rsid w:val="5F7D226D"/>
    <w:rsid w:val="605D57B2"/>
    <w:rsid w:val="61F87A64"/>
    <w:rsid w:val="6266798A"/>
    <w:rsid w:val="626734C7"/>
    <w:rsid w:val="62BE650A"/>
    <w:rsid w:val="644D7A69"/>
    <w:rsid w:val="6687377C"/>
    <w:rsid w:val="67222A72"/>
    <w:rsid w:val="682129C0"/>
    <w:rsid w:val="68ED4933"/>
    <w:rsid w:val="68F2760A"/>
    <w:rsid w:val="69F13128"/>
    <w:rsid w:val="6A6642F6"/>
    <w:rsid w:val="6B9D6548"/>
    <w:rsid w:val="6BBC0A8A"/>
    <w:rsid w:val="6CC214B2"/>
    <w:rsid w:val="6ED207BA"/>
    <w:rsid w:val="7018760E"/>
    <w:rsid w:val="70A6729C"/>
    <w:rsid w:val="71E1785F"/>
    <w:rsid w:val="76C07F60"/>
    <w:rsid w:val="78C53192"/>
    <w:rsid w:val="7E7B5A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7">
    <w:name w:val="Default Paragraph Font"/>
    <w:link w:val="8"/>
    <w:qFormat/>
    <w:uiPriority w:val="0"/>
    <w:rPr>
      <w:kern w:val="0"/>
      <w:sz w:val="24"/>
      <w:szCs w:val="20"/>
    </w:rPr>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 Char Char Char Char Char Char Char Char Char Char"/>
    <w:basedOn w:val="1"/>
    <w:link w:val="7"/>
    <w:qFormat/>
    <w:uiPriority w:val="0"/>
    <w:pPr>
      <w:adjustRightInd w:val="0"/>
      <w:spacing w:line="360" w:lineRule="auto"/>
    </w:pPr>
    <w:rPr>
      <w:kern w:val="0"/>
      <w:sz w:val="24"/>
      <w:szCs w:val="20"/>
    </w:rPr>
  </w:style>
  <w:style w:type="character" w:styleId="9">
    <w:name w:val="page number"/>
    <w:basedOn w:val="7"/>
    <w:qFormat/>
    <w:uiPriority w:val="0"/>
  </w:style>
  <w:style w:type="character" w:styleId="10">
    <w:name w:val="Hyperlink"/>
    <w:basedOn w:val="7"/>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 3 Char"/>
    <w:basedOn w:val="7"/>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7"/>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7"/>
    <w:qFormat/>
    <w:uiPriority w:val="0"/>
  </w:style>
  <w:style w:type="character" w:customStyle="1" w:styleId="21">
    <w:name w:val="Heading 1 Char"/>
    <w:basedOn w:val="7"/>
    <w:link w:val="2"/>
    <w:semiHidden/>
    <w:qFormat/>
    <w:uiPriority w:val="0"/>
    <w:rPr>
      <w:b/>
      <w:bCs/>
      <w:kern w:val="44"/>
      <w:sz w:val="44"/>
      <w:szCs w:val="44"/>
    </w:rPr>
  </w:style>
  <w:style w:type="character" w:customStyle="1" w:styleId="22">
    <w:name w:val="Footer Char"/>
    <w:basedOn w:val="7"/>
    <w:link w:val="5"/>
    <w:semiHidden/>
    <w:qFormat/>
    <w:uiPriority w:val="0"/>
    <w:rPr>
      <w:sz w:val="18"/>
      <w:szCs w:val="18"/>
    </w:rPr>
  </w:style>
  <w:style w:type="character" w:customStyle="1" w:styleId="23">
    <w:name w:val="Header Char"/>
    <w:basedOn w:val="7"/>
    <w:link w:val="6"/>
    <w:semiHidden/>
    <w:qFormat/>
    <w:uiPriority w:val="0"/>
    <w:rPr>
      <w:sz w:val="18"/>
      <w:szCs w:val="18"/>
    </w:rPr>
  </w:style>
  <w:style w:type="character" w:customStyle="1" w:styleId="24">
    <w:name w:val="font11"/>
    <w:basedOn w:val="7"/>
    <w:qFormat/>
    <w:uiPriority w:val="0"/>
    <w:rPr>
      <w:rFonts w:hint="eastAsia" w:ascii="宋体" w:hAnsi="宋体" w:eastAsia="宋体" w:cs="宋体"/>
      <w:color w:val="000000"/>
      <w:sz w:val="24"/>
      <w:szCs w:val="24"/>
      <w:u w:val="none"/>
    </w:rPr>
  </w:style>
  <w:style w:type="character" w:customStyle="1" w:styleId="25">
    <w:name w:val="font31"/>
    <w:basedOn w:val="7"/>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822</Words>
  <Characters>4689</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唐素娜</cp:lastModifiedBy>
  <cp:lastPrinted>2023-10-12T03:32:00Z</cp:lastPrinted>
  <dcterms:modified xsi:type="dcterms:W3CDTF">2023-12-05T02:11:44Z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