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line="360" w:lineRule="auto"/>
        <w:jc w:val="center"/>
        <w:rPr>
          <w:rFonts w:hint="eastAsia" w:ascii="宋体" w:hAnsi="宋体" w:eastAsia="宋体" w:cs="宋体"/>
          <w:b/>
          <w:bCs/>
          <w:sz w:val="56"/>
          <w:szCs w:val="56"/>
        </w:rPr>
      </w:pPr>
    </w:p>
    <w:p>
      <w:pPr>
        <w:pStyle w:val="9"/>
        <w:spacing w:line="360" w:lineRule="auto"/>
        <w:jc w:val="center"/>
        <w:rPr>
          <w:rFonts w:hint="eastAsia" w:ascii="宋体" w:hAnsi="宋体" w:eastAsia="宋体" w:cs="宋体"/>
          <w:b/>
          <w:bCs/>
          <w:color w:val="auto"/>
          <w:sz w:val="56"/>
          <w:szCs w:val="56"/>
        </w:rPr>
      </w:pPr>
      <w:r>
        <w:rPr>
          <w:rFonts w:hint="eastAsia" w:ascii="宋体" w:hAnsi="宋体" w:eastAsia="宋体" w:cs="宋体"/>
          <w:b/>
          <w:bCs/>
          <w:color w:val="auto"/>
          <w:sz w:val="56"/>
          <w:szCs w:val="56"/>
        </w:rPr>
        <w:t>广东华昌</w:t>
      </w:r>
      <w:r>
        <w:rPr>
          <w:rFonts w:hint="eastAsia" w:ascii="宋体" w:hAnsi="宋体" w:eastAsia="宋体" w:cs="宋体"/>
          <w:b/>
          <w:bCs/>
          <w:color w:val="auto"/>
          <w:sz w:val="56"/>
          <w:szCs w:val="56"/>
          <w:lang w:val="en-US" w:eastAsia="zh-CN"/>
        </w:rPr>
        <w:t>集团</w:t>
      </w:r>
      <w:r>
        <w:rPr>
          <w:rFonts w:hint="eastAsia" w:ascii="宋体" w:hAnsi="宋体" w:eastAsia="宋体" w:cs="宋体"/>
          <w:b/>
          <w:bCs/>
          <w:color w:val="auto"/>
          <w:sz w:val="56"/>
          <w:szCs w:val="56"/>
        </w:rPr>
        <w:t>有限公司</w:t>
      </w:r>
    </w:p>
    <w:p>
      <w:pPr>
        <w:pStyle w:val="9"/>
        <w:spacing w:line="520" w:lineRule="exact"/>
        <w:jc w:val="center"/>
        <w:rPr>
          <w:rFonts w:hint="eastAsia" w:ascii="宋体" w:hAnsi="宋体" w:eastAsia="宋体" w:cs="宋体"/>
          <w:color w:val="auto"/>
          <w:sz w:val="36"/>
          <w:szCs w:val="36"/>
        </w:rPr>
      </w:pPr>
    </w:p>
    <w:p>
      <w:pPr>
        <w:pStyle w:val="9"/>
        <w:spacing w:line="520" w:lineRule="exact"/>
        <w:ind w:firstLine="2731" w:firstLineChars="850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招标编号：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>HCCGZB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>22051</w:t>
      </w:r>
    </w:p>
    <w:p>
      <w:pP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</w:p>
    <w:p>
      <w:pPr>
        <w:jc w:val="center"/>
        <w:rPr>
          <w:rFonts w:hint="eastAsia" w:ascii="宋体" w:hAnsi="宋体" w:eastAsia="宋体" w:cs="宋体"/>
          <w:b/>
          <w:bCs/>
          <w:color w:val="auto"/>
          <w:sz w:val="76"/>
          <w:szCs w:val="76"/>
          <w:u w:val="singl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76"/>
          <w:szCs w:val="76"/>
          <w:u w:val="single"/>
          <w:lang w:val="en-US" w:eastAsia="zh-CN"/>
        </w:rPr>
        <w:t>模具钢锻件</w:t>
      </w:r>
    </w:p>
    <w:p>
      <w:pPr>
        <w:spacing w:line="920" w:lineRule="exact"/>
        <w:jc w:val="center"/>
        <w:rPr>
          <w:rFonts w:hint="eastAsia" w:ascii="宋体" w:hAnsi="宋体" w:eastAsia="宋体" w:cs="宋体"/>
          <w:color w:val="auto"/>
          <w:sz w:val="76"/>
          <w:szCs w:val="76"/>
        </w:rPr>
      </w:pPr>
      <w:r>
        <w:rPr>
          <w:rFonts w:hint="eastAsia" w:ascii="宋体" w:hAnsi="宋体" w:eastAsia="宋体" w:cs="宋体"/>
          <w:color w:val="auto"/>
          <w:sz w:val="76"/>
          <w:szCs w:val="76"/>
        </w:rPr>
        <w:t>招标文件</w:t>
      </w:r>
    </w:p>
    <w:p>
      <w:pPr>
        <w:spacing w:line="400" w:lineRule="exact"/>
        <w:rPr>
          <w:rFonts w:hint="eastAsia" w:ascii="宋体" w:hAnsi="宋体" w:eastAsia="宋体" w:cs="宋体"/>
          <w:color w:val="auto"/>
        </w:rPr>
      </w:pPr>
    </w:p>
    <w:p>
      <w:pPr>
        <w:spacing w:line="400" w:lineRule="exact"/>
        <w:rPr>
          <w:rFonts w:hint="eastAsia" w:ascii="宋体" w:hAnsi="宋体" w:eastAsia="宋体" w:cs="宋体"/>
          <w:color w:val="auto"/>
        </w:rPr>
      </w:pPr>
    </w:p>
    <w:p>
      <w:pPr>
        <w:spacing w:line="400" w:lineRule="exact"/>
        <w:rPr>
          <w:rFonts w:hint="eastAsia" w:ascii="宋体" w:hAnsi="宋体" w:eastAsia="宋体" w:cs="宋体"/>
          <w:color w:val="auto"/>
        </w:rPr>
      </w:pPr>
    </w:p>
    <w:p>
      <w:pPr>
        <w:spacing w:line="400" w:lineRule="exact"/>
        <w:rPr>
          <w:rFonts w:hint="eastAsia" w:ascii="宋体" w:hAnsi="宋体" w:eastAsia="宋体" w:cs="宋体"/>
          <w:color w:val="auto"/>
        </w:rPr>
      </w:pPr>
    </w:p>
    <w:p>
      <w:pPr>
        <w:spacing w:line="400" w:lineRule="exact"/>
        <w:rPr>
          <w:rFonts w:hint="eastAsia" w:ascii="宋体" w:hAnsi="宋体" w:eastAsia="宋体" w:cs="宋体"/>
          <w:color w:val="auto"/>
        </w:rPr>
      </w:pPr>
    </w:p>
    <w:p>
      <w:pPr>
        <w:spacing w:line="400" w:lineRule="exact"/>
        <w:rPr>
          <w:rFonts w:hint="eastAsia" w:ascii="宋体" w:hAnsi="宋体" w:eastAsia="宋体" w:cs="宋体"/>
          <w:color w:val="auto"/>
        </w:rPr>
      </w:pPr>
    </w:p>
    <w:p>
      <w:pPr>
        <w:spacing w:line="400" w:lineRule="exact"/>
        <w:rPr>
          <w:rFonts w:hint="eastAsia" w:ascii="宋体" w:hAnsi="宋体" w:eastAsia="宋体" w:cs="宋体"/>
          <w:color w:val="auto"/>
        </w:rPr>
      </w:pPr>
    </w:p>
    <w:p>
      <w:pPr>
        <w:spacing w:line="400" w:lineRule="exact"/>
        <w:rPr>
          <w:rFonts w:hint="eastAsia" w:ascii="宋体" w:hAnsi="宋体" w:eastAsia="宋体" w:cs="宋体"/>
          <w:color w:val="auto"/>
        </w:rPr>
      </w:pPr>
    </w:p>
    <w:p>
      <w:pPr>
        <w:spacing w:line="700" w:lineRule="exact"/>
        <w:jc w:val="center"/>
        <w:rPr>
          <w:rFonts w:hint="eastAsia" w:ascii="宋体" w:hAnsi="宋体" w:eastAsia="宋体" w:cs="宋体"/>
          <w:color w:val="auto"/>
        </w:rPr>
      </w:pPr>
    </w:p>
    <w:p>
      <w:pPr>
        <w:spacing w:line="700" w:lineRule="exact"/>
        <w:jc w:val="center"/>
        <w:rPr>
          <w:rFonts w:hint="eastAsia" w:ascii="宋体" w:hAnsi="宋体" w:eastAsia="宋体" w:cs="宋体"/>
          <w:color w:val="auto"/>
        </w:rPr>
      </w:pP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 xml:space="preserve"> 招 标 人：广东华昌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集团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有限公司</w:t>
      </w: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4"/>
          <w:szCs w:val="24"/>
          <w:u w:val="singl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u w:val="single"/>
          <w:lang w:val="en-US" w:eastAsia="zh-CN"/>
        </w:rPr>
        <w:t>2022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u w:val="single"/>
        </w:rPr>
        <w:t>年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10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u w:val="single"/>
        </w:rPr>
        <w:t>月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28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u w:val="single"/>
        </w:rPr>
        <w:t>日</w:t>
      </w:r>
    </w:p>
    <w:p>
      <w:pPr>
        <w:rPr>
          <w:rFonts w:hint="eastAsia" w:ascii="宋体" w:hAnsi="宋体" w:eastAsia="宋体" w:cs="宋体"/>
          <w:color w:val="auto"/>
          <w:sz w:val="30"/>
          <w:szCs w:val="30"/>
        </w:rPr>
      </w:pPr>
    </w:p>
    <w:p>
      <w:pPr>
        <w:rPr>
          <w:rFonts w:hint="eastAsia" w:ascii="宋体" w:hAnsi="宋体" w:eastAsia="宋体" w:cs="宋体"/>
          <w:color w:val="auto"/>
          <w:sz w:val="30"/>
          <w:szCs w:val="30"/>
        </w:rPr>
      </w:pPr>
    </w:p>
    <w:p>
      <w:pPr>
        <w:pStyle w:val="2"/>
        <w:ind w:firstLine="2641" w:firstLineChars="598"/>
        <w:rPr>
          <w:rFonts w:hint="eastAsia" w:ascii="宋体" w:hAnsi="宋体" w:eastAsia="宋体" w:cs="宋体"/>
          <w:color w:val="auto"/>
        </w:rPr>
      </w:pPr>
    </w:p>
    <w:p>
      <w:pPr>
        <w:pStyle w:val="2"/>
        <w:ind w:firstLine="2641" w:firstLineChars="598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目    录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第一章 投标邀请书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第二章 投标人须知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第三章 投标标的（附物资需求明细表）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第四章  质量要求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第五章  服务要求和检验要求</w:t>
      </w:r>
    </w:p>
    <w:p>
      <w:pPr>
        <w:widowControl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第一章 投标邀请书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本公司现进行年度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>模具钢锻件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采购招标，邀请贵单位参与竞标。本次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>模具钢锻件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招标为集中招标，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招标单位: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华昌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铝业集团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pStyle w:val="10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招标方法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：本招标文件为统一版本，适用于本次参与竞标的所有公司。招标文件通过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华昌官网、公众号及相关信息资讯平台发布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。投标人按照招标文件要求准备投标文件。我司收到标书后，依据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标结果与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中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标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签订年度采购合同。</w:t>
      </w:r>
    </w:p>
    <w:p>
      <w:pPr>
        <w:pStyle w:val="10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投标标书准备：</w:t>
      </w: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请收到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招标信息后自行按招标要求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编制标书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并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用文件袋密封好，快递或直接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到如下地址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收件人地址：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广东佛山市南海区狮山镇长虹岭工业园（二期）虹岭四路3号，邮编:528231，收件人: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>雷雨芳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，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4．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时间要求：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开始时间：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>2022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年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>12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  <w:t>月</w:t>
      </w:r>
      <w:r>
        <w:rPr>
          <w:rFonts w:hint="eastAsia" w:ascii="宋体" w:hAnsi="宋体" w:cs="宋体"/>
          <w:b/>
          <w:bCs/>
          <w:color w:val="auto"/>
          <w:sz w:val="28"/>
          <w:szCs w:val="28"/>
          <w:u w:val="single"/>
          <w:lang w:val="en-US" w:eastAsia="zh-CN"/>
        </w:rPr>
        <w:t>21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  <w:t>日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  <w:lang w:val="en-US" w:eastAsia="zh-CN"/>
        </w:rPr>
        <w:t>8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  <w:t>：00时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截止时间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>2022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年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>12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  <w:t>月</w:t>
      </w:r>
      <w:r>
        <w:rPr>
          <w:rFonts w:hint="eastAsia" w:ascii="宋体" w:hAnsi="宋体" w:cs="宋体"/>
          <w:b/>
          <w:bCs/>
          <w:color w:val="auto"/>
          <w:sz w:val="28"/>
          <w:szCs w:val="28"/>
          <w:u w:val="single"/>
          <w:lang w:val="en-US" w:eastAsia="zh-CN"/>
        </w:rPr>
        <w:t>29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  <w:t>日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  <w:lang w:val="en-US" w:eastAsia="zh-CN"/>
        </w:rPr>
        <w:t>17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  <w:t>：00时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本规定时间内，竞标单位未能送达标书，视为自动弃标。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招标负责人：</w:t>
      </w:r>
    </w:p>
    <w:p>
      <w:pPr>
        <w:spacing w:line="360" w:lineRule="auto"/>
        <w:ind w:firstLine="691" w:firstLineChars="247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在准备投标标书过程中，如有疑问请联系本次招标负责人：</w:t>
      </w:r>
    </w:p>
    <w:p>
      <w:pPr>
        <w:widowControl/>
        <w:spacing w:line="360" w:lineRule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潘惠华13927750023、李明明13580455827、雷雨芳13825574588、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第二章 投标人须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知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tbl>
      <w:tblPr>
        <w:tblStyle w:val="7"/>
        <w:tblW w:w="960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7"/>
        <w:gridCol w:w="59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条  款  名  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编  列  内  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招标编号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firstLine="2240" w:firstLineChars="800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HCCGZB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22051</w:t>
            </w:r>
            <w:bookmarkStart w:id="1" w:name="_GoBack"/>
            <w:bookmarkEnd w:id="1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项目名称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模具钢锻件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名 称：广东华昌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地 址：广东佛山市南海区狮山镇长虹岭工业园（二期）虹岭四路3号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雷雨芳13825574588、李明明13580455827、潘惠华13927750023。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传  真：0757-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81827052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投标人应具备承担本招标物资生产供应能力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资格条件：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投标者必须是采用有中华人民共和国注册单位。具备铝合金建筑型材专用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模具钢锻件的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供货能力，并符合招标单位有关要求的法人资格单位。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ind w:left="840" w:hanging="780" w:hangingChars="300"/>
              <w:textAlignment w:val="baseline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1、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投标保证金的形式</w:t>
            </w: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：银行汇款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2、投标保证金的金额：投标保证金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贰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万元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3、银行汇款</w:t>
            </w:r>
          </w:p>
          <w:p>
            <w:pPr>
              <w:adjustRightInd w:val="0"/>
              <w:spacing w:line="440" w:lineRule="exact"/>
              <w:ind w:firstLine="560" w:firstLineChars="200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需将投标保证金电汇至指定账号（具体银行信息如下），同时须在汇款单据上注明招标编号及名称。投标人必须保证投标保证金在投标截止时间前即开标时间前到账，</w:t>
            </w:r>
          </w:p>
          <w:p>
            <w:pPr>
              <w:spacing w:line="50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户名称：广东华昌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 xml:space="preserve">有限公司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   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开户银行：广发银行股份有限公司佛山城南支行 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银行账户：9550 8800 4180 7900 181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签字或盖章要求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法定代表人或其委托代理人签字并盖单位章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装订要求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投标文件只需一份正本装订成册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封套上写明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招标项目名称、招标编号和投标人全称，注明投哪些分公司，密封处应有密封章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递交投标文件地点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广东佛山市南海区狮山镇长虹岭工业园（二期）虹岭四路3号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是否退还投标文件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topLinePunct/>
              <w:adjustRightInd w:val="0"/>
              <w:spacing w:line="40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否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□是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开标时间和地点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开标时间：招标方另行安排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开标地点：广东华昌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开标程序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（1）密封情况检查：监督人检查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（2）开标顺序：统一开标登记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（3）投标人代表是否在开标记录上签字不影响开标记录的效力。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评标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（1）价格；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（2）投标单位资质；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（3）产品质量；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4）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售后服务承诺；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是否授权评标委员会</w:t>
            </w:r>
          </w:p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确定中标人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 xml:space="preserve">□否，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履约担保的形式：履约保证金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履约担保的金额：中标后投标保证金转为履约保证金</w:t>
            </w:r>
          </w:p>
        </w:tc>
      </w:tr>
    </w:tbl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</w:rPr>
        <w:t>投标人须知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1.投标单位的资格审查及有关事项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（1）资格条件：投标者必须是采用有中华人民共和国注册单位。具备铝合金建筑型材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>模具钢锻件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的供货能力，并符合招标单位有关要求的法人资格单位。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000000" w:themeColor="text1"/>
          <w:sz w:val="28"/>
          <w:szCs w:val="28"/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t>（2）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</w:rPr>
        <w:t>商务标书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t>资格审查文件内容：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000000" w:themeColor="text1"/>
          <w:sz w:val="28"/>
          <w:szCs w:val="28"/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instrText xml:space="preserve"> = 1 \* GB3 </w:instrText>
      </w: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t>①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t>法定代表人证明书，法人授权委托证明书，被授权人身份证复印件。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000000" w:themeColor="text1"/>
          <w:sz w:val="28"/>
          <w:szCs w:val="28"/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instrText xml:space="preserve"> = 2 \* GB3 </w:instrText>
      </w: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t>②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t>盖有单位公章的企业营业执照副本复印件和税务登记证（国税、地税）复印件、开户银行、账号、企业简介。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000000" w:themeColor="text1"/>
          <w:sz w:val="28"/>
          <w:szCs w:val="28"/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instrText xml:space="preserve"> = 3 \* GB3 </w:instrText>
      </w: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t>③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t>产品说明书、质量证明书。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000000" w:themeColor="text1"/>
          <w:sz w:val="28"/>
          <w:szCs w:val="28"/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instrText xml:space="preserve"> = 4 \* GB3 </w:instrText>
      </w: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t>④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t>各质量体系认证证书复印件。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000000" w:themeColor="text1"/>
          <w:sz w:val="28"/>
          <w:szCs w:val="28"/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instrText xml:space="preserve"> = 5 \* GB3 </w:instrText>
      </w: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t>⑤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fldChar w:fldCharType="end"/>
      </w:r>
      <w:r>
        <w:rPr>
          <w:rFonts w:hint="eastAsia"/>
          <w:color w:val="000000" w:themeColor="text1"/>
          <w:sz w:val="28"/>
          <w:szCs w:val="28"/>
          <w:lang w:val="en-US" w:eastAsia="zh-CN"/>
        </w:rPr>
        <w:t>客户案例表、成本分析表和报价单（成本分析表格式参照附件，具本内容可根据实际情况作出修改）。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000000" w:themeColor="text1"/>
          <w:sz w:val="28"/>
          <w:szCs w:val="28"/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t>⑥能证明企业履约能力、信誉的材料。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000000" w:themeColor="text1"/>
          <w:sz w:val="28"/>
          <w:szCs w:val="28"/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t>经招标单位评标小组对被邀请单位资格进行审查，须符合上述资质条件的，方可确定为投标单位。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</w:rPr>
      </w:pP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</w:rPr>
        <w:t>3）</w:t>
      </w:r>
      <w:r>
        <w:rPr>
          <w:rFonts w:hint="eastAsia"/>
          <w:color w:val="000000" w:themeColor="text1"/>
          <w:sz w:val="28"/>
          <w:szCs w:val="28"/>
          <w:lang w:val="en-US" w:eastAsia="zh-CN"/>
        </w:rPr>
        <w:t>技术标要求：相关成功案例。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t>（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t>）投标费用：投标商自行支付准备和递交投标书过程中所发生的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一切费用，无论投标结果如何，招标单位对此费用不负任何责任。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招标文件的澄清和修改：招标单位对已发出的招标文件进行必要的澄清或者修改，应在招标文件要求提交投标文件截止时间前，视澄清或修改的内容而定，以书面形式通知或电话口头通知所有招标文件收受人，该澄清或修改的内容为招标文件的组成部份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2.如投标人之间采取不正当的手段哄抬产品价格，使招标人的利益蒙受损失，或投标人之间恶性竞争，不能按投标价格签订合同，则重新组织招标。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3.投标单位中标后，立即签订质量协议书和年度供货框架合同，并严格执行所有条款。</w:t>
      </w:r>
    </w:p>
    <w:p>
      <w:pPr>
        <w:spacing w:line="360" w:lineRule="auto"/>
        <w:jc w:val="left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4.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严禁投标单位对招标单位采购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及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相关部门人员进行行贿、宴请、馈赠礼品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围标、串标、悔标、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</w:rPr>
        <w:t>以他人名义投标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val="en-US" w:eastAsia="zh-CN"/>
        </w:rPr>
        <w:t>等不良行为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一经发现，取消投标及供应资格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并扣除全部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投标保证金。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.交货方式：根据广东华昌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有限公司下达的采购订单所要求的数量、规格及交期要求，将产品送达广东华昌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有限公司指定仓库。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6.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招标有效期：中标企业的供货资格和投标承诺有效期为合同签定后一年，因重大交货延误及严重供货质量原因被终止供货资格除外。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第三章  投标标的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numPr>
          <w:ilvl w:val="0"/>
          <w:numId w:val="2"/>
        </w:num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标的名称：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>模具钢锻件</w:t>
      </w:r>
    </w:p>
    <w:tbl>
      <w:tblPr>
        <w:tblStyle w:val="7"/>
        <w:tblW w:w="84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4"/>
        <w:gridCol w:w="2720"/>
        <w:gridCol w:w="2350"/>
        <w:gridCol w:w="18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1544" w:type="dxa"/>
            <w:vAlign w:val="center"/>
          </w:tcPr>
          <w:p>
            <w:pPr>
              <w:pStyle w:val="13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lang w:val="zh-TW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zh-TW"/>
              </w:rPr>
              <w:t>产品名称</w:t>
            </w:r>
          </w:p>
        </w:tc>
        <w:tc>
          <w:tcPr>
            <w:tcW w:w="2720" w:type="dxa"/>
            <w:vAlign w:val="center"/>
          </w:tcPr>
          <w:p>
            <w:pPr>
              <w:pStyle w:val="13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lang w:val="zh-TW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zh-TW" w:eastAsia="zh-CN"/>
              </w:rPr>
              <w:t>材质</w:t>
            </w:r>
          </w:p>
        </w:tc>
        <w:tc>
          <w:tcPr>
            <w:tcW w:w="2350" w:type="dxa"/>
            <w:vAlign w:val="center"/>
          </w:tcPr>
          <w:p>
            <w:pPr>
              <w:pStyle w:val="13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lang w:val="zh-TW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 xml:space="preserve">货到7天内付款   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zh-TW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元/KG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zh-TW"/>
              </w:rPr>
              <w:t>）</w:t>
            </w:r>
          </w:p>
        </w:tc>
        <w:tc>
          <w:tcPr>
            <w:tcW w:w="1806" w:type="dxa"/>
            <w:vAlign w:val="center"/>
          </w:tcPr>
          <w:p>
            <w:pPr>
              <w:pStyle w:val="13"/>
              <w:spacing w:line="360" w:lineRule="auto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月结45天银承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zh-TW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元/KG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zh-TW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544" w:type="dxa"/>
            <w:vAlign w:val="center"/>
          </w:tcPr>
          <w:p>
            <w:pPr>
              <w:pStyle w:val="13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color w:val="auto"/>
              </w:rPr>
              <w:t>模具钢</w:t>
            </w:r>
          </w:p>
        </w:tc>
        <w:tc>
          <w:tcPr>
            <w:tcW w:w="2720" w:type="dxa"/>
            <w:vAlign w:val="center"/>
          </w:tcPr>
          <w:p>
            <w:pPr>
              <w:pStyle w:val="13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</w:rPr>
              <w:t>4Cr5MoSiV1</w:t>
            </w:r>
            <w:r>
              <w:rPr>
                <w:rFonts w:hint="eastAsia" w:ascii="宋体" w:hAnsi="宋体" w:eastAsia="宋体" w:cs="宋体"/>
                <w:b/>
                <w:color w:val="auto"/>
                <w:lang w:val="en-US" w:eastAsia="zh-CN"/>
              </w:rPr>
              <w:t xml:space="preserve">  H13</w:t>
            </w:r>
          </w:p>
        </w:tc>
        <w:tc>
          <w:tcPr>
            <w:tcW w:w="2350" w:type="dxa"/>
            <w:vAlign w:val="center"/>
          </w:tcPr>
          <w:p>
            <w:pPr>
              <w:pStyle w:val="13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lang w:val="en-US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13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544" w:type="dxa"/>
            <w:vAlign w:val="center"/>
          </w:tcPr>
          <w:p>
            <w:pPr>
              <w:pStyle w:val="13"/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color w:val="auto"/>
              </w:rPr>
              <w:t>模具钢</w:t>
            </w:r>
          </w:p>
        </w:tc>
        <w:tc>
          <w:tcPr>
            <w:tcW w:w="2720" w:type="dxa"/>
            <w:vAlign w:val="center"/>
          </w:tcPr>
          <w:p>
            <w:pPr>
              <w:pStyle w:val="13"/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RS344  （亚铝标准）</w:t>
            </w:r>
          </w:p>
        </w:tc>
        <w:tc>
          <w:tcPr>
            <w:tcW w:w="2350" w:type="dxa"/>
            <w:vAlign w:val="center"/>
          </w:tcPr>
          <w:p>
            <w:pPr>
              <w:pStyle w:val="13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lang w:val="en-US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13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544" w:type="dxa"/>
            <w:vAlign w:val="center"/>
          </w:tcPr>
          <w:p>
            <w:pPr>
              <w:pStyle w:val="13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lang w:val="zh-TW"/>
              </w:rPr>
            </w:pPr>
            <w:r>
              <w:rPr>
                <w:rFonts w:hint="eastAsia" w:ascii="宋体" w:hAnsi="宋体" w:eastAsia="宋体" w:cs="宋体"/>
                <w:b/>
                <w:color w:val="auto"/>
              </w:rPr>
              <w:t>锻件</w:t>
            </w:r>
          </w:p>
        </w:tc>
        <w:tc>
          <w:tcPr>
            <w:tcW w:w="2720" w:type="dxa"/>
            <w:vAlign w:val="center"/>
          </w:tcPr>
          <w:p>
            <w:pPr>
              <w:pStyle w:val="13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</w:rPr>
              <w:t>4Cr5MoSiV1</w:t>
            </w:r>
            <w:r>
              <w:rPr>
                <w:rFonts w:hint="eastAsia" w:ascii="宋体" w:hAnsi="宋体" w:eastAsia="宋体" w:cs="宋体"/>
                <w:b/>
                <w:color w:val="auto"/>
                <w:lang w:val="en-US" w:eastAsia="zh-CN"/>
              </w:rPr>
              <w:t xml:space="preserve">  H13</w:t>
            </w:r>
          </w:p>
        </w:tc>
        <w:tc>
          <w:tcPr>
            <w:tcW w:w="2350" w:type="dxa"/>
            <w:vAlign w:val="center"/>
          </w:tcPr>
          <w:p>
            <w:pPr>
              <w:pStyle w:val="13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lang w:val="en-US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13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544" w:type="dxa"/>
            <w:vAlign w:val="center"/>
          </w:tcPr>
          <w:p>
            <w:pPr>
              <w:pStyle w:val="13"/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color w:val="auto"/>
              </w:rPr>
              <w:t>锻件</w:t>
            </w:r>
          </w:p>
        </w:tc>
        <w:tc>
          <w:tcPr>
            <w:tcW w:w="2720" w:type="dxa"/>
            <w:vAlign w:val="center"/>
          </w:tcPr>
          <w:p>
            <w:pPr>
              <w:pStyle w:val="13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  <w:t>5CrMnMO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350" w:type="dxa"/>
            <w:vAlign w:val="center"/>
          </w:tcPr>
          <w:p>
            <w:pPr>
              <w:pStyle w:val="13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lang w:val="en-US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13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</w:tc>
      </w:tr>
    </w:tbl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宋体" w:hAnsi="宋体" w:eastAsia="宋体" w:cs="宋体"/>
          <w:color w:val="auto"/>
          <w:sz w:val="32"/>
          <w:szCs w:val="32"/>
          <w:u w:val="single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第四章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质量要求与技术参数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原材料</w:t>
      </w:r>
    </w:p>
    <w:p>
      <w:p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锻件所选用的钢材应符合《GB/T 1299-2014合金工具钢》标准的要求，其中4Cr5MoSiV1我司要求如下表所示：</w:t>
      </w:r>
    </w:p>
    <w:p>
      <w:pPr>
        <w:spacing w:line="360" w:lineRule="auto"/>
        <w:ind w:firstLine="540" w:firstLineChars="192"/>
        <w:jc w:val="center"/>
        <w:rPr>
          <w:rFonts w:hint="eastAsia" w:ascii="宋体" w:hAnsi="宋体" w:eastAsia="宋体" w:cs="宋体"/>
          <w:b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color w:val="auto"/>
          <w:sz w:val="28"/>
          <w:szCs w:val="28"/>
        </w:rPr>
        <w:t>表1  4Cr5MoSiV1的化学成分（%，m/m）</w:t>
      </w:r>
    </w:p>
    <w:tbl>
      <w:tblPr>
        <w:tblStyle w:val="7"/>
        <w:tblpPr w:leftFromText="180" w:rightFromText="180" w:vertAnchor="text" w:horzAnchor="page" w:tblpX="1710" w:tblpY="334"/>
        <w:tblOverlap w:val="never"/>
        <w:tblW w:w="85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1"/>
        <w:gridCol w:w="806"/>
        <w:gridCol w:w="804"/>
        <w:gridCol w:w="1017"/>
        <w:gridCol w:w="650"/>
        <w:gridCol w:w="649"/>
        <w:gridCol w:w="996"/>
        <w:gridCol w:w="804"/>
        <w:gridCol w:w="805"/>
        <w:gridCol w:w="7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311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牌号</w:t>
            </w:r>
          </w:p>
        </w:tc>
        <w:tc>
          <w:tcPr>
            <w:tcW w:w="806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C</w:t>
            </w:r>
          </w:p>
        </w:tc>
        <w:tc>
          <w:tcPr>
            <w:tcW w:w="80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Si</w:t>
            </w:r>
          </w:p>
        </w:tc>
        <w:tc>
          <w:tcPr>
            <w:tcW w:w="1017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Mn</w:t>
            </w:r>
          </w:p>
        </w:tc>
        <w:tc>
          <w:tcPr>
            <w:tcW w:w="65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P</w:t>
            </w:r>
          </w:p>
        </w:tc>
        <w:tc>
          <w:tcPr>
            <w:tcW w:w="64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S</w:t>
            </w:r>
          </w:p>
        </w:tc>
        <w:tc>
          <w:tcPr>
            <w:tcW w:w="996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Cr</w:t>
            </w:r>
          </w:p>
        </w:tc>
        <w:tc>
          <w:tcPr>
            <w:tcW w:w="80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Mo</w:t>
            </w:r>
          </w:p>
        </w:tc>
        <w:tc>
          <w:tcPr>
            <w:tcW w:w="80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V</w:t>
            </w:r>
          </w:p>
        </w:tc>
        <w:tc>
          <w:tcPr>
            <w:tcW w:w="73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31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0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0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01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29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不大于</w:t>
            </w:r>
          </w:p>
        </w:tc>
        <w:tc>
          <w:tcPr>
            <w:tcW w:w="99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0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0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7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3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4Cr5MoSiV1</w:t>
            </w:r>
          </w:p>
        </w:tc>
        <w:tc>
          <w:tcPr>
            <w:tcW w:w="80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0.35~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0.45</w:t>
            </w:r>
          </w:p>
        </w:tc>
        <w:tc>
          <w:tcPr>
            <w:tcW w:w="80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0.80~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1.20</w:t>
            </w:r>
          </w:p>
        </w:tc>
        <w:tc>
          <w:tcPr>
            <w:tcW w:w="101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0.20~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0.50</w:t>
            </w:r>
          </w:p>
        </w:tc>
        <w:tc>
          <w:tcPr>
            <w:tcW w:w="65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0.030</w:t>
            </w:r>
          </w:p>
        </w:tc>
        <w:tc>
          <w:tcPr>
            <w:tcW w:w="64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0.030</w:t>
            </w:r>
          </w:p>
        </w:tc>
        <w:tc>
          <w:tcPr>
            <w:tcW w:w="99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4.75~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5.50</w:t>
            </w:r>
          </w:p>
        </w:tc>
        <w:tc>
          <w:tcPr>
            <w:tcW w:w="80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1.10~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1.75</w:t>
            </w:r>
          </w:p>
        </w:tc>
        <w:tc>
          <w:tcPr>
            <w:tcW w:w="80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0.80~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1.20</w:t>
            </w:r>
          </w:p>
        </w:tc>
        <w:tc>
          <w:tcPr>
            <w:tcW w:w="73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</w:tbl>
    <w:p>
      <w:p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spacing w:line="360" w:lineRule="auto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表</w:t>
      </w: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sz w:val="28"/>
          <w:szCs w:val="28"/>
        </w:rPr>
        <w:t xml:space="preserve">  </w:t>
      </w:r>
      <w:r>
        <w:rPr>
          <w:rFonts w:hint="eastAsia" w:ascii="宋体" w:hAnsi="宋体" w:eastAsia="宋体" w:cs="宋体"/>
          <w:b/>
          <w:sz w:val="28"/>
          <w:szCs w:val="28"/>
          <w:highlight w:val="none"/>
        </w:rPr>
        <w:t>RS344</w:t>
      </w:r>
      <w:r>
        <w:rPr>
          <w:rFonts w:hint="eastAsia" w:ascii="宋体" w:hAnsi="宋体" w:eastAsia="宋体" w:cs="宋体"/>
          <w:b/>
          <w:sz w:val="28"/>
          <w:szCs w:val="28"/>
        </w:rPr>
        <w:t>的化学成分（</w:t>
      </w: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 xml:space="preserve">Wt </w:t>
      </w:r>
      <w:r>
        <w:rPr>
          <w:rFonts w:hint="eastAsia" w:ascii="宋体" w:hAnsi="宋体" w:eastAsia="宋体" w:cs="宋体"/>
          <w:b/>
          <w:sz w:val="28"/>
          <w:szCs w:val="28"/>
        </w:rPr>
        <w:t>%）</w:t>
      </w:r>
    </w:p>
    <w:tbl>
      <w:tblPr>
        <w:tblStyle w:val="7"/>
        <w:tblpPr w:leftFromText="180" w:rightFromText="180" w:vertAnchor="text" w:horzAnchor="page" w:tblpX="1920" w:tblpY="202"/>
        <w:tblOverlap w:val="never"/>
        <w:tblW w:w="85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8"/>
        <w:gridCol w:w="813"/>
        <w:gridCol w:w="825"/>
        <w:gridCol w:w="950"/>
        <w:gridCol w:w="842"/>
        <w:gridCol w:w="745"/>
        <w:gridCol w:w="900"/>
        <w:gridCol w:w="804"/>
        <w:gridCol w:w="805"/>
        <w:gridCol w:w="7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15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牌号</w:t>
            </w:r>
          </w:p>
        </w:tc>
        <w:tc>
          <w:tcPr>
            <w:tcW w:w="81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C</w:t>
            </w:r>
          </w:p>
        </w:tc>
        <w:tc>
          <w:tcPr>
            <w:tcW w:w="82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Si</w:t>
            </w:r>
          </w:p>
        </w:tc>
        <w:tc>
          <w:tcPr>
            <w:tcW w:w="95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Mn</w:t>
            </w:r>
          </w:p>
        </w:tc>
        <w:tc>
          <w:tcPr>
            <w:tcW w:w="84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P</w:t>
            </w:r>
          </w:p>
        </w:tc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S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Cr</w:t>
            </w:r>
          </w:p>
        </w:tc>
        <w:tc>
          <w:tcPr>
            <w:tcW w:w="80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Mo</w:t>
            </w:r>
          </w:p>
        </w:tc>
        <w:tc>
          <w:tcPr>
            <w:tcW w:w="80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V</w:t>
            </w:r>
          </w:p>
        </w:tc>
        <w:tc>
          <w:tcPr>
            <w:tcW w:w="73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15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1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5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8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≦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0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0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15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RS344</w:t>
            </w:r>
          </w:p>
        </w:tc>
        <w:tc>
          <w:tcPr>
            <w:tcW w:w="81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0.35~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0.4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2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0.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80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~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0.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95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0.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5~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0.45</w:t>
            </w:r>
          </w:p>
        </w:tc>
        <w:tc>
          <w:tcPr>
            <w:tcW w:w="84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0.025</w:t>
            </w:r>
          </w:p>
        </w:tc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0.015</w:t>
            </w:r>
          </w:p>
        </w:tc>
        <w:tc>
          <w:tcPr>
            <w:tcW w:w="90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4.90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~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5.10</w:t>
            </w:r>
          </w:p>
        </w:tc>
        <w:tc>
          <w:tcPr>
            <w:tcW w:w="80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1.25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~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1.30</w:t>
            </w:r>
          </w:p>
        </w:tc>
        <w:tc>
          <w:tcPr>
            <w:tcW w:w="80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0.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5~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0.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90</w:t>
            </w:r>
          </w:p>
        </w:tc>
        <w:tc>
          <w:tcPr>
            <w:tcW w:w="73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</w:tbl>
    <w:p>
      <w:p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脱碳层</w:t>
      </w:r>
    </w:p>
    <w:p>
      <w:pPr>
        <w:spacing w:line="360" w:lineRule="auto"/>
        <w:ind w:firstLine="537" w:firstLineChars="192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表面脱碳层按照《GB/T 224-2018 钢的脱碳层深度测定法》标准进行检测，深度应≤1mm。</w:t>
      </w:r>
    </w:p>
    <w:p>
      <w:p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3、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表面缺陷深度</w:t>
      </w:r>
    </w:p>
    <w:p>
      <w:pPr>
        <w:spacing w:line="360" w:lineRule="auto"/>
        <w:ind w:firstLine="280" w:firstLineChars="100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表面缺陷深度是指锻件表面的凹陷、麻点、碰伤、折叠和裂纹等的实际深度，其公差规定如下：</w:t>
      </w:r>
    </w:p>
    <w:p>
      <w:pPr>
        <w:numPr>
          <w:ilvl w:val="0"/>
          <w:numId w:val="3"/>
        </w:num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加工表面:若锻件实际尺寸等于基本尺寸时，其深度公差为单边加工余量之半;若实际尺寸大于或小于基本尺寸时，其深度公差为单边加工余量之半加或减单边实际偏差值。</w:t>
      </w:r>
    </w:p>
    <w:p>
      <w:pPr>
        <w:numPr>
          <w:ilvl w:val="0"/>
          <w:numId w:val="3"/>
        </w:num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非加工表面:其深度公差为厚度尺寸公差的 1/3。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但锻件非加工表面存在折叠、裂纹时，应打磨清除。清除的表面必须圆滑过渡，打磨宽度不小于深度的</w:t>
      </w:r>
      <w:r>
        <w:rPr>
          <w:rFonts w:hint="eastAsia" w:ascii="宋体" w:hAnsi="宋体" w:eastAsia="宋体" w:cs="宋体"/>
          <w:b/>
          <w:color w:val="auto"/>
          <w:sz w:val="28"/>
          <w:szCs w:val="28"/>
        </w:rPr>
        <w:t>6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倍，长度应在两端超出缺陷长度</w:t>
      </w:r>
      <w:r>
        <w:rPr>
          <w:rFonts w:hint="eastAsia" w:ascii="宋体" w:hAnsi="宋体" w:eastAsia="宋体" w:cs="宋体"/>
          <w:b/>
          <w:color w:val="auto"/>
          <w:sz w:val="28"/>
          <w:szCs w:val="28"/>
        </w:rPr>
        <w:t>3mm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以上。</w:t>
      </w:r>
    </w:p>
    <w:p>
      <w:p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4、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加工余量、尺寸公差及形位公差</w:t>
      </w:r>
    </w:p>
    <w:p>
      <w:pPr>
        <w:spacing w:line="360" w:lineRule="auto"/>
        <w:ind w:firstLine="537" w:firstLineChars="192"/>
        <w:rPr>
          <w:rFonts w:hint="eastAsia" w:ascii="宋体" w:hAnsi="宋体" w:eastAsia="宋体" w:cs="宋体"/>
          <w:b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锻件加工余量、尺寸公差、形位公差及其他公差应符合GB/T12362的规定，具体如下：</w:t>
      </w:r>
    </w:p>
    <w:p>
      <w:pPr>
        <w:spacing w:line="360" w:lineRule="auto"/>
        <w:rPr>
          <w:rFonts w:hint="eastAsia" w:ascii="宋体" w:hAnsi="宋体" w:eastAsia="宋体" w:cs="宋体"/>
          <w:b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color w:val="auto"/>
          <w:sz w:val="28"/>
          <w:szCs w:val="28"/>
        </w:rPr>
        <w:t xml:space="preserve">                 表2 加工余量验收标准（单位：mm）</w:t>
      </w:r>
    </w:p>
    <w:p>
      <w:pPr>
        <w:spacing w:line="360" w:lineRule="auto"/>
        <w:ind w:firstLine="540" w:firstLineChars="192"/>
        <w:jc w:val="center"/>
        <w:rPr>
          <w:rFonts w:hint="eastAsia" w:ascii="宋体" w:hAnsi="宋体" w:eastAsia="宋体" w:cs="宋体"/>
          <w:b/>
          <w:color w:val="auto"/>
          <w:sz w:val="28"/>
          <w:szCs w:val="28"/>
        </w:rPr>
      </w:pPr>
    </w:p>
    <w:tbl>
      <w:tblPr>
        <w:tblStyle w:val="7"/>
        <w:tblW w:w="84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3"/>
        <w:gridCol w:w="1404"/>
        <w:gridCol w:w="1403"/>
        <w:gridCol w:w="1403"/>
        <w:gridCol w:w="1404"/>
        <w:gridCol w:w="14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2807" w:type="dxa"/>
            <w:gridSpan w:val="2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尺寸</w:t>
            </w:r>
          </w:p>
        </w:tc>
        <w:tc>
          <w:tcPr>
            <w:tcW w:w="140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厚度方向</w:t>
            </w:r>
          </w:p>
        </w:tc>
        <w:tc>
          <w:tcPr>
            <w:tcW w:w="421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水平方向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2807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40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40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0~315</w:t>
            </w:r>
          </w:p>
        </w:tc>
        <w:tc>
          <w:tcPr>
            <w:tcW w:w="140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315~400</w:t>
            </w:r>
          </w:p>
        </w:tc>
        <w:tc>
          <w:tcPr>
            <w:tcW w:w="140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400~700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40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锻件重量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/Kg</w:t>
            </w:r>
          </w:p>
        </w:tc>
        <w:tc>
          <w:tcPr>
            <w:tcW w:w="140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50~120</w:t>
            </w:r>
          </w:p>
        </w:tc>
        <w:tc>
          <w:tcPr>
            <w:tcW w:w="140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2.5~3.2</w:t>
            </w:r>
          </w:p>
        </w:tc>
        <w:tc>
          <w:tcPr>
            <w:tcW w:w="140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2.5~3.2</w:t>
            </w:r>
          </w:p>
        </w:tc>
        <w:tc>
          <w:tcPr>
            <w:tcW w:w="140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2.5~3.5</w:t>
            </w:r>
          </w:p>
        </w:tc>
        <w:tc>
          <w:tcPr>
            <w:tcW w:w="140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2.7~3.5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40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120~250</w:t>
            </w:r>
          </w:p>
        </w:tc>
        <w:tc>
          <w:tcPr>
            <w:tcW w:w="140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3.0~4.0</w:t>
            </w:r>
          </w:p>
        </w:tc>
        <w:tc>
          <w:tcPr>
            <w:tcW w:w="140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2.5~3.5</w:t>
            </w:r>
          </w:p>
        </w:tc>
        <w:tc>
          <w:tcPr>
            <w:tcW w:w="140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2.7~3.5</w:t>
            </w:r>
          </w:p>
        </w:tc>
        <w:tc>
          <w:tcPr>
            <w:tcW w:w="140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2.7~4.0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140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＞250</w:t>
            </w:r>
          </w:p>
        </w:tc>
        <w:tc>
          <w:tcPr>
            <w:tcW w:w="140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3.5~4.5</w:t>
            </w:r>
          </w:p>
        </w:tc>
        <w:tc>
          <w:tcPr>
            <w:tcW w:w="140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2.7~3.5</w:t>
            </w:r>
          </w:p>
        </w:tc>
        <w:tc>
          <w:tcPr>
            <w:tcW w:w="140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3.0~4.0</w:t>
            </w:r>
          </w:p>
        </w:tc>
        <w:tc>
          <w:tcPr>
            <w:tcW w:w="140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3.0~4.0</w:t>
            </w:r>
          </w:p>
        </w:tc>
      </w:tr>
    </w:tbl>
    <w:p>
      <w:pPr>
        <w:spacing w:line="360" w:lineRule="auto"/>
        <w:ind w:firstLine="537" w:firstLineChars="192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360" w:lineRule="auto"/>
        <w:ind w:firstLine="540" w:firstLineChars="192"/>
        <w:jc w:val="center"/>
        <w:rPr>
          <w:rFonts w:hint="eastAsia" w:ascii="宋体" w:hAnsi="宋体" w:eastAsia="宋体" w:cs="宋体"/>
          <w:b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color w:val="auto"/>
          <w:sz w:val="28"/>
          <w:szCs w:val="28"/>
        </w:rPr>
        <w:t>表3 尺寸公差验收标准（单位：mm）</w:t>
      </w:r>
    </w:p>
    <w:tbl>
      <w:tblPr>
        <w:tblStyle w:val="7"/>
        <w:tblW w:w="84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0"/>
        <w:gridCol w:w="1517"/>
        <w:gridCol w:w="1641"/>
        <w:gridCol w:w="1640"/>
        <w:gridCol w:w="16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351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尺寸</w:t>
            </w:r>
          </w:p>
        </w:tc>
        <w:tc>
          <w:tcPr>
            <w:tcW w:w="164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180~315</w:t>
            </w:r>
          </w:p>
        </w:tc>
        <w:tc>
          <w:tcPr>
            <w:tcW w:w="16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315~500</w:t>
            </w:r>
          </w:p>
        </w:tc>
        <w:tc>
          <w:tcPr>
            <w:tcW w:w="164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500~800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200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锻件重量/Kg</w:t>
            </w:r>
          </w:p>
        </w:tc>
        <w:tc>
          <w:tcPr>
            <w:tcW w:w="151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50~120</w:t>
            </w:r>
          </w:p>
        </w:tc>
        <w:tc>
          <w:tcPr>
            <w:tcW w:w="164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4.5（+3.0 -1.5）</w:t>
            </w:r>
          </w:p>
        </w:tc>
        <w:tc>
          <w:tcPr>
            <w:tcW w:w="16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5.0（+3.3 -1.7）</w:t>
            </w:r>
          </w:p>
        </w:tc>
        <w:tc>
          <w:tcPr>
            <w:tcW w:w="164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5.6（+3.7 -1.9）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200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51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120~250</w:t>
            </w:r>
          </w:p>
        </w:tc>
        <w:tc>
          <w:tcPr>
            <w:tcW w:w="164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5.0（+3.3 -1.7）</w:t>
            </w:r>
          </w:p>
        </w:tc>
        <w:tc>
          <w:tcPr>
            <w:tcW w:w="16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5.6（+3.7 -1.9）</w:t>
            </w:r>
          </w:p>
        </w:tc>
        <w:tc>
          <w:tcPr>
            <w:tcW w:w="164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6.3（+4.2 -2.1）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200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51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＞250</w:t>
            </w:r>
          </w:p>
        </w:tc>
        <w:tc>
          <w:tcPr>
            <w:tcW w:w="164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5.6（+3.7 -1.9）</w:t>
            </w:r>
          </w:p>
        </w:tc>
        <w:tc>
          <w:tcPr>
            <w:tcW w:w="16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6.3（+4.2 -2.1）</w:t>
            </w:r>
          </w:p>
        </w:tc>
        <w:tc>
          <w:tcPr>
            <w:tcW w:w="164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7.0（+4.7 -2.3）</w:t>
            </w:r>
          </w:p>
        </w:tc>
      </w:tr>
    </w:tbl>
    <w:p>
      <w:p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5、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供货状态及硬度</w:t>
      </w:r>
    </w:p>
    <w:p>
      <w:pPr>
        <w:spacing w:line="360" w:lineRule="auto"/>
        <w:ind w:firstLine="537" w:firstLineChars="192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锻件以球化退火状态供货，组织应为珠光体，其硬度≤230HB。</w:t>
      </w:r>
    </w:p>
    <w:p>
      <w:p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6、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冶金缺陷的低倍检测</w:t>
      </w:r>
    </w:p>
    <w:p>
      <w:pPr>
        <w:spacing w:line="360" w:lineRule="auto"/>
        <w:ind w:firstLine="537" w:firstLineChars="192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若低倍试样上有白点、白斑、裂纹或明显夹杂物，该批号的全部锻件不予验收。</w:t>
      </w:r>
    </w:p>
    <w:p>
      <w:p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7、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锻件表面清理</w:t>
      </w:r>
    </w:p>
    <w:p>
      <w:pPr>
        <w:spacing w:line="360" w:lineRule="auto"/>
        <w:ind w:firstLine="537" w:firstLineChars="192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4Cr5MoSiV1模具钢锻件入厂后还需进行较多的机械加工，因此，交货锻件表面氧化皮应清理干净，表面清理方式有抛丸、喷砂、滚筒清理等。若供方不能清理的，由双方协商解决。</w:t>
      </w:r>
    </w:p>
    <w:p>
      <w:p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8、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显微组织</w:t>
      </w:r>
    </w:p>
    <w:p>
      <w:pPr>
        <w:spacing w:line="360" w:lineRule="auto"/>
        <w:ind w:firstLine="537" w:firstLineChars="192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4Cr5MoSiV1模具钢锻件的金相分析，主要对象为放大100倍的显微组织，若有疑问，应进行更高倍检测。</w:t>
      </w:r>
    </w:p>
    <w:p>
      <w:p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9、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显微偏析</w:t>
      </w:r>
    </w:p>
    <w:p>
      <w:pPr>
        <w:spacing w:line="360" w:lineRule="auto"/>
        <w:ind w:firstLine="537" w:firstLineChars="192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不能有严重的显微偏析（参照附件3）。</w:t>
      </w:r>
    </w:p>
    <w:p>
      <w:p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10、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退火组织</w:t>
      </w:r>
    </w:p>
    <w:p>
      <w:pPr>
        <w:spacing w:line="360" w:lineRule="auto"/>
        <w:ind w:firstLine="537" w:firstLineChars="192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退火组织需为均匀珠光体，碳化物析出均匀，不可有大块铁素体及网状铁素体（参照附件4）。</w:t>
      </w:r>
    </w:p>
    <w:p>
      <w:p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11、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择优取向</w:t>
      </w:r>
    </w:p>
    <w:p>
      <w:pPr>
        <w:spacing w:line="360" w:lineRule="auto"/>
        <w:ind w:firstLine="537" w:firstLineChars="192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锻造比K应适当（</w:t>
      </w:r>
      <w:r>
        <w:rPr>
          <w:rFonts w:hint="eastAsia" w:ascii="宋体" w:hAnsi="宋体" w:eastAsia="宋体" w:cs="宋体"/>
          <w:b/>
          <w:color w:val="auto"/>
          <w:sz w:val="28"/>
          <w:szCs w:val="28"/>
        </w:rPr>
        <w:t>约为2-4）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，并应进行多次墩粗拔长过程，不得有粗大的板条状择优取向组织存在。若整个视域均为粗大的板条状择优取向组织，该锻件不予验收（参照附件5）。</w:t>
      </w:r>
    </w:p>
    <w:p>
      <w:p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12、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过烧</w:t>
      </w:r>
    </w:p>
    <w:p>
      <w:pPr>
        <w:spacing w:line="360" w:lineRule="auto"/>
        <w:ind w:firstLine="280" w:firstLineChars="100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锻件过烧，主要表现为晶界粗大等现象，任何类别的锻件都不允许过烧，过烧的锻件不予验收。</w:t>
      </w:r>
    </w:p>
    <w:p>
      <w:p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13、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液析碳化物</w:t>
      </w:r>
    </w:p>
    <w:p>
      <w:pPr>
        <w:spacing w:line="360" w:lineRule="auto"/>
        <w:ind w:firstLine="420" w:firstLineChars="150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液析碳化物应优于《GB/T 18254-2002 高碳铬轴承钢》标准中第九级别图的</w:t>
      </w:r>
      <w:r>
        <w:rPr>
          <w:rFonts w:hint="eastAsia" w:ascii="宋体" w:hAnsi="宋体" w:eastAsia="宋体" w:cs="宋体"/>
          <w:b/>
          <w:color w:val="auto"/>
          <w:sz w:val="28"/>
          <w:szCs w:val="28"/>
        </w:rPr>
        <w:t>2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级水平。</w:t>
      </w:r>
    </w:p>
    <w:p>
      <w:p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14、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裂纹</w:t>
      </w:r>
    </w:p>
    <w:p>
      <w:pPr>
        <w:spacing w:line="360" w:lineRule="auto"/>
        <w:ind w:firstLine="537" w:firstLineChars="192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显微组织中不能有裂纹，否则该锻件不予验收。</w:t>
      </w:r>
    </w:p>
    <w:p>
      <w:p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15、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非金属夹杂物</w:t>
      </w:r>
    </w:p>
    <w:p>
      <w:pPr>
        <w:spacing w:line="360" w:lineRule="auto"/>
        <w:ind w:firstLine="537" w:firstLineChars="192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依照《GB/T10561-2005钢中非金属夹杂物含量的测定 标准评级图显微检验法》，4Cr5MoSiV1模具钢锻件的各类非金属夹杂物应优于</w:t>
      </w:r>
      <w:r>
        <w:rPr>
          <w:rFonts w:hint="eastAsia" w:ascii="宋体" w:hAnsi="宋体" w:eastAsia="宋体" w:cs="宋体"/>
          <w:b/>
          <w:color w:val="auto"/>
          <w:sz w:val="28"/>
          <w:szCs w:val="28"/>
        </w:rPr>
        <w:t>2.0</w:t>
      </w: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级。 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</w:p>
    <w:p>
      <w:pPr>
        <w:pStyle w:val="12"/>
        <w:ind w:firstLine="0" w:firstLineChars="0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第五章  其他条款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方提供产品时，应向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方提交产品检验报告单，其内容、格式由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、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双方商定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，最终按需方颁布的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进厂验收标准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为依据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方应备有产品的检查、试验等记录，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方需要时，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方应随时提供原件或复印件。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3.供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方提供每年度不少于1-2次由权威检测机构出具的检测报告，除此以外，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方可根据需要适当时在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方抽取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方产品委外检测，其费用由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方承担。</w:t>
      </w: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bookmarkStart w:id="0" w:name="OLE_LINK3"/>
      <w:r>
        <w:rPr>
          <w:rFonts w:hint="eastAsia" w:ascii="宋体" w:hAnsi="宋体" w:eastAsia="宋体" w:cs="宋体"/>
          <w:color w:val="auto"/>
          <w:sz w:val="28"/>
          <w:szCs w:val="28"/>
        </w:rPr>
        <w:t>服务要</w:t>
      </w:r>
      <w:bookmarkEnd w:id="0"/>
      <w:r>
        <w:rPr>
          <w:rFonts w:hint="eastAsia" w:ascii="宋体" w:hAnsi="宋体" w:eastAsia="宋体" w:cs="宋体"/>
          <w:color w:val="auto"/>
          <w:sz w:val="28"/>
          <w:szCs w:val="28"/>
        </w:rPr>
        <w:t>求：产品出现异常，华昌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要求供方到现场处理，供方必需在24小时内到达现场。有产品不合格退货必需在48小时内将合格产品送回甲方。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4.检验：每个批次的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在入厂时，由五金辅助材料仓库收货人员通知质检部，派人查验该批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，检验标准按照本标书的质量要求条款。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5.检验结果判定：（1）有任意一项技术要求检验项目结果为不合格，则判该批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不合格；（2）有任意一项型式检验项目或核查项目不符合的，按采购合同要求处理。</w:t>
      </w:r>
    </w:p>
    <w:p>
      <w:pPr>
        <w:numPr>
          <w:ilvl w:val="0"/>
          <w:numId w:val="0"/>
        </w:num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6. 个别品种工程价、要求有备案交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供应中心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.送货地点：按本司要求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 标 人：广东华昌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有限公司</w:t>
      </w: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          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202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年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月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28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日</w:t>
      </w:r>
    </w:p>
    <w:p>
      <w:pPr>
        <w:rPr>
          <w:rFonts w:hint="eastAsia" w:ascii="宋体" w:hAnsi="宋体" w:eastAsia="宋体" w:cs="宋体"/>
          <w:b/>
          <w:bCs/>
          <w:color w:val="auto"/>
          <w:kern w:val="2"/>
          <w:sz w:val="28"/>
          <w:szCs w:val="28"/>
          <w:lang w:val="en-US" w:eastAsia="zh-CN" w:bidi="ar-SA"/>
        </w:rPr>
      </w:pPr>
    </w:p>
    <w:p>
      <w:pPr>
        <w:rPr>
          <w:rFonts w:hint="eastAsia" w:ascii="宋体" w:hAnsi="宋体" w:eastAsia="宋体" w:cs="宋体"/>
          <w:b/>
          <w:bCs/>
          <w:color w:val="auto"/>
          <w:kern w:val="2"/>
          <w:sz w:val="28"/>
          <w:szCs w:val="28"/>
          <w:lang w:val="en-US" w:eastAsia="zh-CN" w:bidi="ar-SA"/>
        </w:rPr>
      </w:pPr>
    </w:p>
    <w:p>
      <w:pPr>
        <w:rPr>
          <w:rFonts w:hint="eastAsia" w:ascii="宋体" w:hAnsi="宋体" w:eastAsia="宋体" w:cs="宋体"/>
          <w:b/>
          <w:bCs/>
          <w:color w:val="auto"/>
          <w:kern w:val="2"/>
          <w:sz w:val="28"/>
          <w:szCs w:val="28"/>
          <w:lang w:val="en-US" w:eastAsia="zh-CN" w:bidi="ar-SA"/>
        </w:rPr>
      </w:pPr>
    </w:p>
    <w:p>
      <w:pPr>
        <w:jc w:val="left"/>
        <w:rPr>
          <w:rFonts w:hint="eastAsia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231" w:footer="992" w:gutter="0"/>
      <w:pgNumType w:fmt="decimal" w:start="3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cs="Times New Roman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eastAsia="宋体" w:cs="Times New Roman"/>
                    <w:sz w:val="18"/>
                    <w:szCs w:val="18"/>
                    <w:lang w:eastAsia="zh-CN"/>
                  </w:rPr>
                </w:pP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第 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begin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separate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>3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end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450" w:firstLineChars="250"/>
      <w:jc w:val="left"/>
      <w:rPr>
        <w:rFonts w:cs="Times New Roman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i1025" o:spt="75" alt="公司的logo（带字：华昌铝业集团l）" type="#_x0000_t75" style="height:66.3pt;width:93.9pt;" fillcolor="#FFFFFF" filled="f" o:preferrelative="t" stroked="f" coordsize="21600,21600">
          <v:path/>
          <v:fill on="f" color2="#FFFFFF" focussize="0,0"/>
          <v:stroke on="f"/>
          <v:imagedata r:id="rId1" gain="65536f" blacklevel="0f" gamma="0" o:title=""/>
          <o:lock v:ext="edit" position="f" selection="f" grouping="f" rotation="f" cropping="f" text="f" aspectratio="t"/>
          <w10:wrap type="none"/>
          <w10:anchorlock/>
        </v:shape>
      </w:pict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   </w:t>
    </w:r>
    <w:r>
      <w:rPr>
        <w:rFonts w:hint="eastAsia" w:hAnsi="宋体"/>
        <w:b/>
        <w:bCs/>
        <w:sz w:val="21"/>
        <w:szCs w:val="21"/>
      </w:rPr>
      <w:t>招标</w:t>
    </w:r>
    <w:r>
      <w:rPr>
        <w:rFonts w:hint="eastAsia" w:hAnsi="宋体"/>
        <w:b/>
        <w:bCs/>
        <w:sz w:val="21"/>
        <w:szCs w:val="21"/>
        <w:lang w:val="en-US" w:eastAsia="zh-CN"/>
      </w:rPr>
      <w:t>文件</w:t>
    </w:r>
  </w:p>
  <w:p>
    <w:pPr>
      <w:pStyle w:val="4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00000004"/>
    <w:multiLevelType w:val="multilevel"/>
    <w:tmpl w:val="00000004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000000B"/>
    <w:multiLevelType w:val="multilevel"/>
    <w:tmpl w:val="0000000B"/>
    <w:lvl w:ilvl="0" w:tentative="0">
      <w:start w:val="1"/>
      <w:numFmt w:val="lowerLetter"/>
      <w:lvlText w:val="%1）"/>
      <w:lvlJc w:val="left"/>
      <w:pPr>
        <w:tabs>
          <w:tab w:val="left" w:pos="825"/>
        </w:tabs>
        <w:ind w:left="825" w:hanging="58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080"/>
        </w:tabs>
        <w:ind w:left="108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500"/>
        </w:tabs>
        <w:ind w:left="1500" w:hanging="420"/>
      </w:pPr>
    </w:lvl>
    <w:lvl w:ilvl="3" w:tentative="0">
      <w:start w:val="1"/>
      <w:numFmt w:val="decimal"/>
      <w:lvlText w:val="%4."/>
      <w:lvlJc w:val="left"/>
      <w:pPr>
        <w:tabs>
          <w:tab w:val="left" w:pos="1920"/>
        </w:tabs>
        <w:ind w:left="19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340"/>
        </w:tabs>
        <w:ind w:left="23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60"/>
        </w:tabs>
        <w:ind w:left="27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180"/>
        </w:tabs>
        <w:ind w:left="31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600"/>
        </w:tabs>
        <w:ind w:left="36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020"/>
        </w:tabs>
        <w:ind w:left="402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2F42745B"/>
    <w:rsid w:val="58CD6F9E"/>
    <w:rsid w:val="6B1003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qFormat/>
    <w:uiPriority w:val="0"/>
    <w:rPr>
      <w:rFonts w:ascii="Times New Roman" w:hAnsi="Times New Roman" w:eastAsia="宋体" w:cs="Times New Roman"/>
    </w:rPr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正文文本 3 Char"/>
    <w:basedOn w:val="5"/>
    <w:semiHidden/>
    <w:uiPriority w:val="0"/>
    <w:rPr>
      <w:rFonts w:ascii="宋体" w:hAnsi="Times New Roman" w:eastAsia="宋体" w:cs="宋体"/>
      <w:sz w:val="20"/>
      <w:szCs w:val="20"/>
    </w:rPr>
  </w:style>
  <w:style w:type="paragraph" w:customStyle="1" w:styleId="9">
    <w:name w:val="Body Text 3"/>
    <w:basedOn w:val="1"/>
    <w:link w:val="14"/>
    <w:qFormat/>
    <w:uiPriority w:val="0"/>
    <w:rPr>
      <w:sz w:val="16"/>
      <w:szCs w:val="16"/>
    </w:rPr>
  </w:style>
  <w:style w:type="paragraph" w:customStyle="1" w:styleId="10">
    <w:name w:val="List Paragraph1"/>
    <w:basedOn w:val="1"/>
    <w:qFormat/>
    <w:uiPriority w:val="0"/>
    <w:pPr>
      <w:ind w:firstLine="420" w:firstLineChars="200"/>
    </w:pPr>
  </w:style>
  <w:style w:type="paragraph" w:customStyle="1" w:styleId="11">
    <w:name w:val="No Spacing1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12">
    <w:name w:val="列出段落1"/>
    <w:basedOn w:val="1"/>
    <w:qFormat/>
    <w:uiPriority w:val="0"/>
    <w:pPr>
      <w:ind w:firstLine="420" w:firstLineChars="200"/>
    </w:pPr>
  </w:style>
  <w:style w:type="paragraph" w:customStyle="1" w:styleId="13">
    <w:name w:val="正文 A"/>
    <w:qFormat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val="none" w:color="000000"/>
      <w:lang w:val="en-US" w:eastAsia="zh-CN" w:bidi="ar-SA"/>
    </w:rPr>
  </w:style>
  <w:style w:type="character" w:customStyle="1" w:styleId="14">
    <w:name w:val="Body Text 3 Char Char"/>
    <w:basedOn w:val="5"/>
    <w:link w:val="9"/>
    <w:semiHidden/>
    <w:qFormat/>
    <w:uiPriority w:val="0"/>
    <w:rPr>
      <w:sz w:val="16"/>
      <w:szCs w:val="16"/>
    </w:rPr>
  </w:style>
  <w:style w:type="character" w:customStyle="1" w:styleId="15">
    <w:name w:val="page number"/>
    <w:basedOn w:val="5"/>
    <w:qFormat/>
    <w:uiPriority w:val="0"/>
  </w:style>
  <w:style w:type="character" w:customStyle="1" w:styleId="16">
    <w:name w:val="Heading 1 Char"/>
    <w:basedOn w:val="5"/>
    <w:link w:val="2"/>
    <w:semiHidden/>
    <w:uiPriority w:val="0"/>
    <w:rPr>
      <w:b/>
      <w:bCs/>
      <w:kern w:val="44"/>
      <w:sz w:val="44"/>
      <w:szCs w:val="44"/>
    </w:rPr>
  </w:style>
  <w:style w:type="character" w:customStyle="1" w:styleId="17">
    <w:name w:val="Footer Char"/>
    <w:basedOn w:val="5"/>
    <w:link w:val="3"/>
    <w:semiHidden/>
    <w:qFormat/>
    <w:uiPriority w:val="0"/>
    <w:rPr>
      <w:sz w:val="18"/>
      <w:szCs w:val="18"/>
    </w:rPr>
  </w:style>
  <w:style w:type="character" w:customStyle="1" w:styleId="18">
    <w:name w:val="Header Char"/>
    <w:basedOn w:val="5"/>
    <w:link w:val="4"/>
    <w:semiHidden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 (Beijing) Limited</Company>
  <Pages>13</Pages>
  <Words>822</Words>
  <Characters>4689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2016-01-27T22:34:00Z</dcterms:created>
  <dc:creator>Lenovo User</dc:creator>
  <cp:lastModifiedBy>Administrator</cp:lastModifiedBy>
  <cp:lastPrinted>2016-05-08T22:32:00Z</cp:lastPrinted>
  <dcterms:modified xsi:type="dcterms:W3CDTF">2022-10-29T07:59:11Z</dcterms:modified>
  <dc:title>xxx-xxx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