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2-4</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5-6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招标项目（中温封孔剂） </w:t>
      </w:r>
      <w:r>
        <w:rPr>
          <w:rFonts w:hint="eastAsia" w:hAnsi="宋体"/>
          <w:b/>
          <w:bCs/>
          <w:sz w:val="28"/>
          <w:szCs w:val="28"/>
        </w:rPr>
        <w:t>招标编号：</w:t>
      </w:r>
      <w:r>
        <w:rPr>
          <w:rFonts w:hint="eastAsia" w:hAnsi="宋体"/>
          <w:b/>
          <w:bCs/>
          <w:sz w:val="28"/>
          <w:szCs w:val="28"/>
          <w:lang w:val="en-US" w:eastAsia="zh-CN"/>
        </w:rPr>
        <w:t>HCCGZB25013</w:t>
      </w:r>
    </w:p>
    <w:p>
      <w:pPr>
        <w:pStyle w:val="5"/>
        <w:widowControl w:val="0"/>
        <w:numPr>
          <w:ilvl w:val="0"/>
          <w:numId w:val="0"/>
        </w:numPr>
        <w:adjustRightInd w:val="0"/>
        <w:snapToGrid w:val="0"/>
        <w:spacing w:line="360" w:lineRule="auto"/>
        <w:jc w:val="center"/>
        <w:rPr>
          <w:rFonts w:hint="eastAsia" w:hAnsi="宋体"/>
          <w:b/>
          <w:bCs/>
          <w:sz w:val="28"/>
          <w:szCs w:val="28"/>
          <w:lang w:val="en-US" w:eastAsia="zh-CN"/>
        </w:rPr>
      </w:pPr>
      <w:r>
        <w:rPr>
          <w:rFonts w:hint="eastAsia" w:hAnsi="宋体"/>
          <w:b/>
          <w:bCs/>
          <w:sz w:val="28"/>
          <w:szCs w:val="28"/>
          <w:lang w:val="en-US" w:eastAsia="zh-CN"/>
        </w:rPr>
        <w:t>广东华昌集团生产辅料 中温封孔剂明细</w:t>
      </w:r>
    </w:p>
    <w:tbl>
      <w:tblPr>
        <w:tblStyle w:val="9"/>
        <w:tblW w:w="97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00"/>
        <w:gridCol w:w="1469"/>
        <w:gridCol w:w="1779"/>
        <w:gridCol w:w="2396"/>
        <w:gridCol w:w="2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4" w:hRule="atLeast"/>
        </w:trPr>
        <w:tc>
          <w:tcPr>
            <w:tcW w:w="1700" w:type="dxa"/>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产品名称</w:t>
            </w:r>
          </w:p>
        </w:tc>
        <w:tc>
          <w:tcPr>
            <w:tcW w:w="1469"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型号</w:t>
            </w:r>
          </w:p>
        </w:tc>
        <w:tc>
          <w:tcPr>
            <w:tcW w:w="1779"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cs="宋体"/>
                <w:i w:val="0"/>
                <w:color w:val="333333"/>
                <w:kern w:val="0"/>
                <w:sz w:val="28"/>
                <w:szCs w:val="28"/>
                <w:u w:val="none"/>
                <w:lang w:val="en-US" w:eastAsia="zh-CN"/>
              </w:rPr>
              <w:t>月</w:t>
            </w:r>
            <w:r>
              <w:rPr>
                <w:rFonts w:hint="eastAsia" w:ascii="宋体" w:hAnsi="宋体" w:eastAsia="宋体" w:cs="宋体"/>
                <w:i w:val="0"/>
                <w:color w:val="333333"/>
                <w:kern w:val="0"/>
                <w:sz w:val="28"/>
                <w:szCs w:val="28"/>
                <w:u w:val="none"/>
                <w:lang w:val="en-US" w:eastAsia="zh-CN"/>
              </w:rPr>
              <w:t>产量（吨）</w:t>
            </w:r>
          </w:p>
        </w:tc>
        <w:tc>
          <w:tcPr>
            <w:tcW w:w="2396"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产地</w:t>
            </w:r>
          </w:p>
        </w:tc>
        <w:tc>
          <w:tcPr>
            <w:tcW w:w="2385"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kern w:val="0"/>
                <w:sz w:val="28"/>
                <w:szCs w:val="28"/>
                <w:u w:val="none"/>
                <w:lang w:val="en-US" w:eastAsia="zh-CN"/>
              </w:rPr>
            </w:pPr>
            <w:r>
              <w:rPr>
                <w:rFonts w:hint="eastAsia" w:ascii="宋体" w:hAnsi="宋体" w:eastAsia="宋体" w:cs="宋体"/>
                <w:i w:val="0"/>
                <w:color w:val="333333"/>
                <w:kern w:val="0"/>
                <w:sz w:val="28"/>
                <w:szCs w:val="28"/>
                <w:u w:val="none"/>
                <w:lang w:val="en-US" w:eastAsia="zh-CN"/>
              </w:rPr>
              <w:t>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1700"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cs="宋体"/>
                <w:i w:val="0"/>
                <w:color w:val="333333"/>
                <w:kern w:val="0"/>
                <w:sz w:val="28"/>
                <w:szCs w:val="28"/>
                <w:u w:val="none"/>
                <w:lang w:val="en-US" w:eastAsia="zh-CN"/>
              </w:rPr>
              <w:t>中温封孔剂</w:t>
            </w:r>
          </w:p>
        </w:tc>
        <w:tc>
          <w:tcPr>
            <w:tcW w:w="14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1800</w:t>
            </w:r>
          </w:p>
        </w:tc>
        <w:tc>
          <w:tcPr>
            <w:tcW w:w="2396"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广东</w:t>
            </w:r>
          </w:p>
        </w:tc>
        <w:tc>
          <w:tcPr>
            <w:tcW w:w="2385"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GB／T8753.1-2017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1700"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cs="宋体"/>
                <w:i w:val="0"/>
                <w:color w:val="333333"/>
                <w:kern w:val="0"/>
                <w:sz w:val="28"/>
                <w:szCs w:val="28"/>
                <w:u w:val="none"/>
                <w:lang w:val="en-US" w:eastAsia="zh-CN"/>
              </w:rPr>
              <w:t>中温封孔剂</w:t>
            </w:r>
          </w:p>
        </w:tc>
        <w:tc>
          <w:tcPr>
            <w:tcW w:w="14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1500</w:t>
            </w:r>
          </w:p>
        </w:tc>
        <w:tc>
          <w:tcPr>
            <w:tcW w:w="2396"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江苏</w:t>
            </w:r>
          </w:p>
        </w:tc>
        <w:tc>
          <w:tcPr>
            <w:tcW w:w="2385"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GB／T8753.1-2017</w:t>
            </w:r>
          </w:p>
        </w:tc>
      </w:tr>
    </w:tbl>
    <w:p>
      <w:pPr>
        <w:pStyle w:val="5"/>
        <w:widowControl w:val="0"/>
        <w:numPr>
          <w:ilvl w:val="0"/>
          <w:numId w:val="0"/>
        </w:numPr>
        <w:adjustRightInd w:val="0"/>
        <w:snapToGrid w:val="0"/>
        <w:spacing w:line="360" w:lineRule="auto"/>
        <w:jc w:val="left"/>
        <w:rPr>
          <w:rFonts w:hint="eastAsia" w:hAnsi="宋体"/>
          <w:b/>
          <w:bCs/>
          <w:sz w:val="28"/>
          <w:szCs w:val="28"/>
          <w:lang w:val="en-US" w:eastAsia="zh-CN"/>
        </w:rPr>
      </w:pPr>
    </w:p>
    <w:p>
      <w:pPr>
        <w:rPr>
          <w:rFonts w:hint="eastAsia"/>
          <w:lang w:eastAsia="zh-CN"/>
        </w:rPr>
      </w:pPr>
      <w:bookmarkStart w:id="1" w:name="_GoBack"/>
      <w:bookmarkEnd w:id="1"/>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中温封孔剂</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w:t>
      </w:r>
      <w:r>
        <w:rPr>
          <w:rFonts w:hint="eastAsia" w:ascii="宋体" w:hAnsi="宋体"/>
          <w:color w:val="0C0C0C"/>
          <w:szCs w:val="21"/>
        </w:rPr>
        <w:t>GB／T8753.1-2017</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p>
    <w:p>
      <w:pPr>
        <w:rPr>
          <w:rFonts w:hint="eastAsia"/>
          <w:lang w:val="en-US" w:eastAsia="zh-CN"/>
        </w:rPr>
      </w:pPr>
      <w:r>
        <w:rPr>
          <w:rFonts w:hint="eastAsia"/>
          <w:sz w:val="30"/>
          <w:szCs w:val="30"/>
          <w:lang w:val="en-US" w:eastAsia="zh-CN"/>
        </w:rPr>
        <w:t>3、</w:t>
      </w:r>
      <w:r>
        <w:rPr>
          <w:rFonts w:hint="eastAsia"/>
          <w:lang w:val="en-US" w:eastAsia="zh-CN"/>
        </w:rPr>
        <w:t>技术要求：</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vertAlign w:val="superscript"/>
          <w:lang w:val="en-US" w:eastAsia="zh-CN"/>
        </w:rPr>
      </w:pPr>
      <w:r>
        <w:rPr>
          <w:rFonts w:hint="eastAsia" w:ascii="宋体" w:hAnsi="宋体" w:eastAsia="宋体" w:cs="宋体"/>
          <w:color w:val="auto"/>
          <w:sz w:val="24"/>
          <w:szCs w:val="24"/>
          <w:lang w:val="en-US" w:eastAsia="zh-CN"/>
        </w:rPr>
        <w:t>①、封孔速度约1.0µm/min,白色料不低于1.0µm/min</w:t>
      </w:r>
      <w:r>
        <w:rPr>
          <w:rFonts w:hint="eastAsia" w:ascii="宋体" w:hAnsi="宋体" w:cs="宋体"/>
          <w:color w:val="auto"/>
          <w:sz w:val="21"/>
          <w:szCs w:val="21"/>
          <w:lang w:val="en-US" w:eastAsia="zh-CN"/>
        </w:rPr>
        <w:t>（即10um封孔时间≤10min）</w:t>
      </w:r>
      <w:r>
        <w:rPr>
          <w:rFonts w:hint="eastAsia" w:ascii="宋体" w:hAnsi="宋体" w:eastAsia="宋体" w:cs="宋体"/>
          <w:color w:val="auto"/>
          <w:sz w:val="24"/>
          <w:szCs w:val="24"/>
          <w:lang w:val="en-US" w:eastAsia="zh-CN"/>
        </w:rPr>
        <w:t>，黑色料不低于1.1µm/min</w:t>
      </w:r>
      <w:r>
        <w:rPr>
          <w:rFonts w:hint="eastAsia" w:ascii="宋体" w:hAnsi="宋体" w:cs="宋体"/>
          <w:color w:val="auto"/>
          <w:sz w:val="21"/>
          <w:szCs w:val="21"/>
          <w:lang w:val="en-US" w:eastAsia="zh-CN"/>
        </w:rPr>
        <w:t>（即11um封孔时间≤10min）</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封孔质量要求：封孔速度快、不起灰、不粘胶、</w:t>
      </w:r>
      <w:r>
        <w:rPr>
          <w:rFonts w:hint="eastAsia" w:ascii="宋体" w:hAnsi="宋体" w:cs="宋体"/>
          <w:color w:val="auto"/>
          <w:sz w:val="24"/>
          <w:szCs w:val="24"/>
          <w:lang w:val="en-US" w:eastAsia="zh-CN"/>
        </w:rPr>
        <w:t>失重符合国标</w:t>
      </w:r>
      <w:r>
        <w:rPr>
          <w:rFonts w:hint="eastAsia" w:ascii="宋体" w:hAnsi="宋体" w:eastAsia="宋体" w:cs="宋体"/>
          <w:color w:val="auto"/>
          <w:sz w:val="24"/>
          <w:szCs w:val="24"/>
          <w:lang w:val="en-US" w:eastAsia="zh-CN"/>
        </w:rPr>
        <w:t>。封孔</w:t>
      </w:r>
      <w:r>
        <w:rPr>
          <w:rFonts w:hint="eastAsia" w:ascii="宋体" w:hAnsi="宋体" w:cs="宋体"/>
          <w:color w:val="auto"/>
          <w:sz w:val="24"/>
          <w:szCs w:val="24"/>
          <w:lang w:val="en-US" w:eastAsia="zh-CN"/>
        </w:rPr>
        <w:t>后</w:t>
      </w:r>
      <w:r>
        <w:rPr>
          <w:rFonts w:hint="eastAsia" w:ascii="宋体" w:hAnsi="宋体" w:eastAsia="宋体" w:cs="宋体"/>
          <w:color w:val="auto"/>
          <w:sz w:val="24"/>
          <w:szCs w:val="24"/>
          <w:lang w:val="en-US" w:eastAsia="zh-CN"/>
        </w:rPr>
        <w:t>质量：</w:t>
      </w:r>
      <w:r>
        <w:rPr>
          <w:rFonts w:hint="eastAsia" w:ascii="宋体" w:hAnsi="宋体" w:cs="宋体"/>
          <w:color w:val="auto"/>
          <w:sz w:val="24"/>
          <w:szCs w:val="24"/>
          <w:lang w:val="en-US" w:eastAsia="zh-CN"/>
        </w:rPr>
        <w:t>失重≤</w:t>
      </w:r>
      <w:r>
        <w:rPr>
          <w:rFonts w:hint="eastAsia" w:ascii="宋体" w:hAnsi="宋体" w:eastAsia="宋体" w:cs="宋体"/>
          <w:color w:val="auto"/>
          <w:sz w:val="24"/>
          <w:szCs w:val="24"/>
          <w:lang w:val="en-US" w:eastAsia="zh-CN"/>
        </w:rPr>
        <w:t>30mg/dm</w:t>
      </w:r>
      <w:r>
        <w:rPr>
          <w:rFonts w:hint="eastAsia" w:ascii="宋体" w:hAnsi="宋体" w:eastAsia="宋体" w:cs="宋体"/>
          <w:b/>
          <w:bCs/>
          <w:color w:val="auto"/>
          <w:sz w:val="24"/>
          <w:szCs w:val="24"/>
          <w:vertAlign w:val="superscript"/>
          <w:lang w:val="en-US" w:eastAsia="zh-CN"/>
        </w:rPr>
        <w:t>2</w:t>
      </w:r>
      <w:r>
        <w:rPr>
          <w:rFonts w:hint="eastAsia" w:ascii="宋体" w:hAnsi="宋体" w:cs="宋体"/>
          <w:color w:val="auto"/>
          <w:sz w:val="21"/>
          <w:szCs w:val="21"/>
          <w:lang w:val="en-US" w:eastAsia="zh-CN"/>
        </w:rPr>
        <w:t>（按第③点）</w:t>
      </w:r>
      <w:r>
        <w:rPr>
          <w:rFonts w:hint="eastAsia" w:ascii="宋体" w:hAnsi="宋体" w:eastAsia="宋体" w:cs="宋体"/>
          <w:b/>
          <w:bCs/>
          <w:color w:val="auto"/>
          <w:sz w:val="24"/>
          <w:szCs w:val="24"/>
          <w:vertAlign w:val="baseline"/>
          <w:lang w:val="en-US" w:eastAsia="zh-CN"/>
        </w:rPr>
        <w:t>，</w:t>
      </w:r>
      <w:r>
        <w:rPr>
          <w:rFonts w:hint="eastAsia" w:ascii="宋体" w:hAnsi="宋体" w:eastAsia="宋体" w:cs="宋体"/>
          <w:color w:val="auto"/>
          <w:sz w:val="24"/>
          <w:szCs w:val="24"/>
          <w:lang w:val="en-US" w:eastAsia="zh-CN"/>
        </w:rPr>
        <w:t>CASS试验</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9级</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加速耐候性：经耐紫外光试验后，目视试样表面颜色不应大于甲乙双方商定的颜色</w:t>
      </w:r>
      <w:r>
        <w:rPr>
          <w:rFonts w:hint="eastAsia" w:ascii="宋体" w:hAnsi="宋体" w:cs="宋体"/>
          <w:color w:val="auto"/>
          <w:sz w:val="24"/>
          <w:szCs w:val="24"/>
          <w:lang w:val="en-US" w:eastAsia="zh-CN"/>
        </w:rPr>
        <w:t>偏差</w:t>
      </w:r>
      <w:r>
        <w:rPr>
          <w:rFonts w:hint="eastAsia" w:ascii="宋体" w:hAnsi="宋体" w:eastAsia="宋体" w:cs="宋体"/>
          <w:color w:val="auto"/>
          <w:sz w:val="24"/>
          <w:szCs w:val="24"/>
          <w:lang w:val="en-US" w:eastAsia="zh-CN"/>
        </w:rPr>
        <w:t>。</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②、贴膜白料</w:t>
      </w:r>
      <w:r>
        <w:rPr>
          <w:rFonts w:hint="eastAsia" w:ascii="宋体" w:hAnsi="宋体" w:cs="宋体"/>
          <w:color w:val="auto"/>
          <w:sz w:val="24"/>
          <w:szCs w:val="24"/>
          <w:lang w:val="en-US" w:eastAsia="zh-CN"/>
        </w:rPr>
        <w:t>或色料</w:t>
      </w:r>
      <w:r>
        <w:rPr>
          <w:rFonts w:hint="eastAsia" w:ascii="宋体" w:hAnsi="宋体" w:eastAsia="宋体" w:cs="宋体"/>
          <w:color w:val="auto"/>
          <w:sz w:val="24"/>
          <w:szCs w:val="24"/>
          <w:lang w:val="en-US" w:eastAsia="zh-CN"/>
        </w:rPr>
        <w:t>封孔后在室温下水冼，可满足下面</w:t>
      </w:r>
      <w:r>
        <w:rPr>
          <w:rFonts w:hint="eastAsia" w:ascii="宋体" w:hAnsi="宋体" w:eastAsia="宋体" w:cs="宋体"/>
          <w:color w:val="auto"/>
          <w:sz w:val="24"/>
          <w:szCs w:val="24"/>
          <w:lang w:val="en-US" w:eastAsia="zh-CN"/>
        </w:rPr>
        <w:sym w:font="Wingdings" w:char="F083"/>
      </w:r>
      <w:r>
        <w:rPr>
          <w:rFonts w:hint="eastAsia" w:ascii="宋体" w:hAnsi="宋体" w:eastAsia="宋体" w:cs="宋体"/>
          <w:color w:val="auto"/>
          <w:sz w:val="24"/>
          <w:szCs w:val="24"/>
          <w:lang w:val="en-US" w:eastAsia="zh-CN"/>
        </w:rPr>
        <w:t>④</w:t>
      </w:r>
      <w:r>
        <w:rPr>
          <w:rFonts w:hint="eastAsia" w:ascii="宋体" w:hAnsi="宋体" w:cs="宋体"/>
          <w:color w:val="auto"/>
          <w:sz w:val="24"/>
          <w:szCs w:val="24"/>
          <w:lang w:val="en-US" w:eastAsia="zh-CN"/>
        </w:rPr>
        <w:t>⑤</w:t>
      </w:r>
      <w:r>
        <w:rPr>
          <w:rFonts w:hint="eastAsia" w:ascii="宋体" w:hAnsi="宋体" w:eastAsia="宋体" w:cs="宋体"/>
          <w:color w:val="auto"/>
          <w:sz w:val="24"/>
          <w:szCs w:val="24"/>
          <w:lang w:val="en-US" w:eastAsia="zh-CN"/>
        </w:rPr>
        <w:t>点要求。</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③、封孔质量满足GB/T5237.2-2017要求，封孔完毕120h后按GB/T8753.1-2017方法进行测试，</w:t>
      </w:r>
      <w:r>
        <w:rPr>
          <w:rFonts w:hint="eastAsia" w:ascii="宋体" w:hAnsi="宋体" w:cs="宋体"/>
          <w:color w:val="auto"/>
          <w:sz w:val="24"/>
          <w:szCs w:val="24"/>
          <w:lang w:val="en-US" w:eastAsia="zh-CN"/>
        </w:rPr>
        <w:t>封孔失重≤</w:t>
      </w:r>
      <w:r>
        <w:rPr>
          <w:rFonts w:hint="eastAsia" w:ascii="宋体" w:hAnsi="宋体" w:eastAsia="宋体" w:cs="宋体"/>
          <w:color w:val="auto"/>
          <w:sz w:val="24"/>
          <w:szCs w:val="24"/>
          <w:lang w:val="en-US" w:eastAsia="zh-CN"/>
        </w:rPr>
        <w:t>30mg/dm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vertAlign w:val="baseline"/>
          <w:lang w:val="en-US" w:eastAsia="zh-CN"/>
        </w:rPr>
        <w:t>。</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④、</w:t>
      </w:r>
      <w:r>
        <w:rPr>
          <w:rFonts w:hint="eastAsia" w:ascii="宋体" w:hAnsi="宋体" w:eastAsia="宋体" w:cs="宋体"/>
          <w:color w:val="auto"/>
          <w:sz w:val="24"/>
          <w:szCs w:val="24"/>
          <w:vertAlign w:val="baseline"/>
          <w:lang w:val="en-US" w:eastAsia="zh-CN"/>
        </w:rPr>
        <w:t>封孔白料可马上贴膜，保证不粘胶</w:t>
      </w:r>
      <w:r>
        <w:rPr>
          <w:rFonts w:hint="eastAsia" w:ascii="宋体" w:hAnsi="宋体" w:cs="宋体"/>
          <w:color w:val="auto"/>
          <w:sz w:val="24"/>
          <w:szCs w:val="24"/>
          <w:vertAlign w:val="baseline"/>
          <w:lang w:val="en-US" w:eastAsia="zh-CN"/>
        </w:rPr>
        <w:t>；</w:t>
      </w:r>
      <w:r>
        <w:rPr>
          <w:rFonts w:hint="eastAsia" w:ascii="宋体" w:hAnsi="宋体" w:eastAsia="宋体" w:cs="宋体"/>
          <w:color w:val="auto"/>
          <w:sz w:val="24"/>
          <w:szCs w:val="24"/>
          <w:vertAlign w:val="baseline"/>
          <w:lang w:val="en-US" w:eastAsia="zh-CN"/>
        </w:rPr>
        <w:t>封孔色料春、夏</w:t>
      </w:r>
      <w:r>
        <w:rPr>
          <w:rFonts w:hint="eastAsia" w:ascii="宋体" w:hAnsi="宋体" w:cs="宋体"/>
          <w:color w:val="auto"/>
          <w:sz w:val="24"/>
          <w:szCs w:val="24"/>
          <w:vertAlign w:val="baseline"/>
          <w:lang w:val="en-US" w:eastAsia="zh-CN"/>
        </w:rPr>
        <w:t>、秋三</w:t>
      </w:r>
      <w:r>
        <w:rPr>
          <w:rFonts w:hint="eastAsia" w:ascii="宋体" w:hAnsi="宋体" w:eastAsia="宋体" w:cs="宋体"/>
          <w:color w:val="auto"/>
          <w:sz w:val="24"/>
          <w:szCs w:val="24"/>
          <w:vertAlign w:val="baseline"/>
          <w:lang w:val="en-US" w:eastAsia="zh-CN"/>
        </w:rPr>
        <w:t>季可马上贴膜</w:t>
      </w:r>
      <w:r>
        <w:rPr>
          <w:rFonts w:hint="eastAsia" w:ascii="宋体" w:hAnsi="宋体" w:cs="宋体"/>
          <w:color w:val="auto"/>
          <w:sz w:val="24"/>
          <w:szCs w:val="24"/>
          <w:vertAlign w:val="baseline"/>
          <w:lang w:val="en-US" w:eastAsia="zh-CN"/>
        </w:rPr>
        <w:t>，</w:t>
      </w:r>
      <w:r>
        <w:rPr>
          <w:rFonts w:hint="eastAsia" w:ascii="宋体" w:hAnsi="宋体" w:eastAsia="宋体" w:cs="宋体"/>
          <w:color w:val="auto"/>
          <w:sz w:val="24"/>
          <w:szCs w:val="24"/>
          <w:vertAlign w:val="baseline"/>
          <w:lang w:val="en-US" w:eastAsia="zh-CN"/>
        </w:rPr>
        <w:t>保证不粘胶</w:t>
      </w:r>
      <w:r>
        <w:rPr>
          <w:rFonts w:hint="eastAsia" w:ascii="宋体" w:hAnsi="宋体" w:cs="宋体"/>
          <w:color w:val="auto"/>
          <w:sz w:val="24"/>
          <w:szCs w:val="24"/>
          <w:vertAlign w:val="baseline"/>
          <w:lang w:val="en-US" w:eastAsia="zh-CN"/>
        </w:rPr>
        <w:t>；</w:t>
      </w:r>
      <w:r>
        <w:rPr>
          <w:rFonts w:hint="eastAsia" w:ascii="宋体" w:hAnsi="宋体" w:eastAsia="宋体" w:cs="宋体"/>
          <w:color w:val="auto"/>
          <w:sz w:val="24"/>
          <w:szCs w:val="24"/>
          <w:vertAlign w:val="baseline"/>
          <w:lang w:val="en-US" w:eastAsia="zh-CN"/>
        </w:rPr>
        <w:t>冬季封孔12小时后贴膜，保证不粘胶</w:t>
      </w:r>
      <w:r>
        <w:rPr>
          <w:rFonts w:hint="eastAsia" w:ascii="宋体" w:hAnsi="宋体" w:cs="宋体"/>
          <w:color w:val="auto"/>
          <w:sz w:val="24"/>
          <w:szCs w:val="24"/>
          <w:vertAlign w:val="baseline"/>
          <w:lang w:val="en-US" w:eastAsia="zh-CN"/>
        </w:rPr>
        <w:t>，</w:t>
      </w:r>
      <w:r>
        <w:rPr>
          <w:rFonts w:hint="eastAsia" w:ascii="宋体" w:hAnsi="宋体" w:eastAsia="宋体" w:cs="宋体"/>
          <w:color w:val="auto"/>
          <w:sz w:val="24"/>
          <w:szCs w:val="24"/>
          <w:vertAlign w:val="baseline"/>
          <w:lang w:val="en-US" w:eastAsia="zh-CN"/>
        </w:rPr>
        <w:t>不起灰。</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b/>
          <w:bCs/>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⑤</w:t>
      </w:r>
      <w:r>
        <w:rPr>
          <w:rFonts w:hint="eastAsia" w:ascii="宋体" w:hAnsi="宋体" w:eastAsia="宋体" w:cs="宋体"/>
          <w:b/>
          <w:bCs/>
          <w:color w:val="auto"/>
          <w:sz w:val="24"/>
          <w:szCs w:val="24"/>
          <w:vertAlign w:val="baseline"/>
          <w:lang w:val="en-US" w:eastAsia="zh-CN"/>
        </w:rPr>
        <w:t>、所有氧化料下排立即取样进行快速法检测封孔质量，其结果要求</w:t>
      </w:r>
      <w:r>
        <w:rPr>
          <w:rFonts w:hint="eastAsia" w:ascii="宋体" w:hAnsi="宋体" w:cs="宋体"/>
          <w:b/>
          <w:bCs/>
          <w:color w:val="auto"/>
          <w:sz w:val="24"/>
          <w:szCs w:val="24"/>
          <w:vertAlign w:val="baseline"/>
          <w:lang w:val="en-US" w:eastAsia="zh-CN"/>
        </w:rPr>
        <w:t>≤</w:t>
      </w:r>
      <w:r>
        <w:rPr>
          <w:rFonts w:hint="eastAsia" w:ascii="宋体" w:hAnsi="宋体" w:eastAsia="宋体" w:cs="宋体"/>
          <w:b/>
          <w:bCs/>
          <w:color w:val="auto"/>
          <w:sz w:val="24"/>
          <w:szCs w:val="24"/>
          <w:vertAlign w:val="baseline"/>
          <w:lang w:val="en-US" w:eastAsia="zh-CN"/>
        </w:rPr>
        <w:t>40mg/dm</w:t>
      </w:r>
      <w:r>
        <w:rPr>
          <w:rFonts w:hint="eastAsia" w:ascii="宋体" w:hAnsi="宋体" w:eastAsia="宋体" w:cs="宋体"/>
          <w:b/>
          <w:bCs/>
          <w:color w:val="auto"/>
          <w:sz w:val="24"/>
          <w:szCs w:val="24"/>
          <w:vertAlign w:val="superscript"/>
          <w:lang w:val="en-US" w:eastAsia="zh-CN"/>
        </w:rPr>
        <w:t>2</w:t>
      </w:r>
      <w:r>
        <w:rPr>
          <w:rFonts w:hint="eastAsia" w:ascii="宋体" w:hAnsi="宋体" w:eastAsia="宋体" w:cs="宋体"/>
          <w:b/>
          <w:bCs/>
          <w:color w:val="auto"/>
          <w:sz w:val="24"/>
          <w:szCs w:val="24"/>
          <w:vertAlign w:val="baseline"/>
          <w:lang w:val="en-US" w:eastAsia="zh-CN"/>
        </w:rPr>
        <w:t>，便于甲方车间现场快速检查。</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关于</w:t>
      </w:r>
      <w:r>
        <w:rPr>
          <w:rFonts w:hint="eastAsia" w:ascii="宋体" w:hAnsi="宋体" w:eastAsia="宋体" w:cs="宋体"/>
          <w:color w:val="auto"/>
          <w:sz w:val="24"/>
          <w:szCs w:val="24"/>
          <w:vertAlign w:val="baseline"/>
          <w:lang w:val="en-US" w:eastAsia="zh-CN"/>
        </w:rPr>
        <w:t>快速检测方法定义如下：AA10，10um氧化着色或银白型材，纯水70</w:t>
      </w:r>
      <w:r>
        <w:rPr>
          <w:rFonts w:hint="eastAsia" w:ascii="宋体" w:hAnsi="宋体" w:cs="宋体"/>
          <w:color w:val="auto"/>
          <w:sz w:val="24"/>
          <w:szCs w:val="24"/>
          <w:vertAlign w:val="baseline"/>
          <w:lang w:val="en-US" w:eastAsia="zh-CN"/>
        </w:rPr>
        <w:t>-75</w:t>
      </w:r>
      <w:r>
        <w:rPr>
          <w:rFonts w:hint="eastAsia" w:ascii="宋体" w:hAnsi="宋体" w:eastAsia="宋体" w:cs="宋体"/>
          <w:color w:val="auto"/>
          <w:sz w:val="24"/>
          <w:szCs w:val="24"/>
          <w:vertAlign w:val="baseline"/>
          <w:lang w:val="en-US" w:eastAsia="zh-CN"/>
        </w:rPr>
        <w:t>℃，浸泡30分钟；AA15，15um氧化着色或银白型材，纯水75</w:t>
      </w:r>
      <w:r>
        <w:rPr>
          <w:rFonts w:hint="eastAsia" w:ascii="宋体" w:hAnsi="宋体" w:cs="宋体"/>
          <w:color w:val="auto"/>
          <w:sz w:val="24"/>
          <w:szCs w:val="24"/>
          <w:vertAlign w:val="baseline"/>
          <w:lang w:val="en-US" w:eastAsia="zh-CN"/>
        </w:rPr>
        <w:t>-80</w:t>
      </w:r>
      <w:r>
        <w:rPr>
          <w:rFonts w:hint="eastAsia" w:ascii="宋体" w:hAnsi="宋体" w:eastAsia="宋体" w:cs="宋体"/>
          <w:color w:val="auto"/>
          <w:sz w:val="24"/>
          <w:szCs w:val="24"/>
          <w:vertAlign w:val="baseline"/>
          <w:lang w:val="en-US" w:eastAsia="zh-CN"/>
        </w:rPr>
        <w:t>℃，浸泡30分钟。冷却后，正常采用“硝酸预浸磷铬酸法”检测失重。</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sz w:val="24"/>
          <w:szCs w:val="24"/>
          <w:vertAlign w:val="baseline"/>
          <w:lang w:val="en-US" w:eastAsia="zh-CN"/>
        </w:rPr>
        <w:t>⑥、</w:t>
      </w:r>
      <w:r>
        <w:rPr>
          <w:rFonts w:hint="eastAsia" w:ascii="宋体" w:hAnsi="宋体" w:eastAsia="宋体" w:cs="宋体"/>
          <w:color w:val="auto"/>
          <w:kern w:val="0"/>
          <w:sz w:val="24"/>
          <w:szCs w:val="24"/>
        </w:rPr>
        <w:t>中温封孔剂</w:t>
      </w:r>
      <w:r>
        <w:rPr>
          <w:rFonts w:hint="eastAsia" w:ascii="宋体" w:hAnsi="宋体" w:eastAsia="宋体" w:cs="宋体"/>
          <w:color w:val="auto"/>
          <w:kern w:val="0"/>
          <w:sz w:val="24"/>
          <w:szCs w:val="24"/>
          <w:lang w:val="en-US" w:eastAsia="zh-CN"/>
        </w:rPr>
        <w:t xml:space="preserve"> ：</w:t>
      </w:r>
    </w:p>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both"/>
        <w:textAlignment w:val="auto"/>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可以满足氧化膜厚度为</w:t>
      </w:r>
      <w:r>
        <w:rPr>
          <w:rFonts w:hint="eastAsia" w:ascii="宋体" w:hAnsi="宋体" w:eastAsia="宋体" w:cs="宋体"/>
          <w:color w:val="auto"/>
          <w:kern w:val="0"/>
          <w:sz w:val="24"/>
          <w:szCs w:val="24"/>
          <w:lang w:val="en-US" w:eastAsia="zh-CN"/>
        </w:rPr>
        <w:t>30um的型材正常封孔，且</w:t>
      </w:r>
      <w:r>
        <w:rPr>
          <w:rFonts w:hint="eastAsia" w:ascii="宋体" w:hAnsi="宋体" w:eastAsia="宋体" w:cs="宋体"/>
          <w:color w:val="auto"/>
          <w:kern w:val="0"/>
          <w:sz w:val="24"/>
          <w:szCs w:val="24"/>
        </w:rPr>
        <w:t>封孔质量达到国家标准</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rPr>
        <w:t>容易控制，对水质要求不高</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rPr>
        <w:t>封孔后颜色不能发生变化</w:t>
      </w:r>
      <w:r>
        <w:rPr>
          <w:rFonts w:hint="eastAsia" w:ascii="宋体" w:hAnsi="宋体" w:eastAsia="宋体" w:cs="宋体"/>
          <w:color w:val="auto"/>
          <w:kern w:val="0"/>
          <w:sz w:val="24"/>
          <w:szCs w:val="24"/>
          <w:lang w:eastAsia="zh-CN"/>
        </w:rPr>
        <w:t>，</w:t>
      </w:r>
      <w:r>
        <w:rPr>
          <w:rFonts w:hint="eastAsia" w:ascii="宋体" w:hAnsi="宋体" w:cs="宋体"/>
          <w:color w:val="auto"/>
          <w:kern w:val="0"/>
          <w:sz w:val="24"/>
          <w:szCs w:val="24"/>
          <w:lang w:val="en-US" w:eastAsia="zh-CN"/>
        </w:rPr>
        <w:t>任何氧化膜厚级别</w:t>
      </w:r>
      <w:r>
        <w:rPr>
          <w:rFonts w:hint="eastAsia" w:ascii="宋体" w:hAnsi="宋体" w:eastAsia="宋体" w:cs="宋体"/>
          <w:color w:val="auto"/>
          <w:kern w:val="0"/>
          <w:sz w:val="24"/>
          <w:szCs w:val="24"/>
        </w:rPr>
        <w:t>浸泡30分钟</w:t>
      </w:r>
      <w:r>
        <w:rPr>
          <w:rFonts w:hint="eastAsia" w:ascii="宋体" w:hAnsi="宋体" w:cs="宋体"/>
          <w:color w:val="auto"/>
          <w:kern w:val="0"/>
          <w:sz w:val="24"/>
          <w:szCs w:val="24"/>
          <w:lang w:val="en-US" w:eastAsia="zh-CN"/>
        </w:rPr>
        <w:t>以内</w:t>
      </w:r>
      <w:r>
        <w:rPr>
          <w:rFonts w:hint="eastAsia" w:ascii="宋体" w:hAnsi="宋体" w:eastAsia="宋体" w:cs="宋体"/>
          <w:color w:val="auto"/>
          <w:kern w:val="0"/>
          <w:sz w:val="24"/>
          <w:szCs w:val="24"/>
        </w:rPr>
        <w:t>不起灰</w:t>
      </w:r>
      <w:r>
        <w:rPr>
          <w:rFonts w:hint="eastAsia" w:ascii="宋体" w:hAnsi="宋体" w:cs="宋体"/>
          <w:color w:val="auto"/>
          <w:kern w:val="0"/>
          <w:sz w:val="24"/>
          <w:szCs w:val="24"/>
          <w:lang w:eastAsia="zh-CN"/>
        </w:rPr>
        <w:t>、</w:t>
      </w:r>
      <w:r>
        <w:rPr>
          <w:rFonts w:hint="eastAsia" w:ascii="宋体" w:hAnsi="宋体" w:eastAsia="宋体" w:cs="宋体"/>
          <w:color w:val="auto"/>
          <w:kern w:val="0"/>
          <w:sz w:val="24"/>
          <w:szCs w:val="24"/>
        </w:rPr>
        <w:t>不起彩</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要求温度控制在65℃以内，封孔时间每</w:t>
      </w:r>
      <w:r>
        <w:rPr>
          <w:rFonts w:hint="eastAsia" w:ascii="宋体" w:hAnsi="宋体" w:cs="宋体"/>
          <w:color w:val="auto"/>
          <w:kern w:val="0"/>
          <w:sz w:val="24"/>
          <w:szCs w:val="24"/>
          <w:lang w:val="en-US" w:eastAsia="zh-CN"/>
        </w:rPr>
        <w:t>1</w:t>
      </w:r>
      <w:r>
        <w:rPr>
          <w:rFonts w:hint="eastAsia" w:ascii="宋体" w:hAnsi="宋体" w:eastAsia="宋体" w:cs="宋体"/>
          <w:color w:val="auto"/>
          <w:kern w:val="0"/>
          <w:sz w:val="24"/>
          <w:szCs w:val="24"/>
        </w:rPr>
        <w:t>um不能超过1.5分钟</w:t>
      </w:r>
      <w:r>
        <w:rPr>
          <w:rFonts w:hint="eastAsia" w:ascii="宋体" w:hAnsi="宋体" w:eastAsia="宋体" w:cs="宋体"/>
          <w:color w:val="auto"/>
          <w:kern w:val="0"/>
          <w:sz w:val="24"/>
          <w:szCs w:val="24"/>
          <w:lang w:eastAsia="zh-CN"/>
        </w:rPr>
        <w:t>。</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⑦、冬季中温封孔工艺细则：</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vertAlign w:val="baseline"/>
          <w:lang w:val="en-US" w:eastAsia="zh-CN"/>
        </w:rPr>
        <w:t>冬季气温</w:t>
      </w:r>
      <w:r>
        <w:rPr>
          <w:rFonts w:hint="eastAsia" w:ascii="宋体" w:hAnsi="宋体" w:cs="宋体"/>
          <w:color w:val="auto"/>
          <w:sz w:val="24"/>
          <w:szCs w:val="24"/>
          <w:vertAlign w:val="baseline"/>
          <w:lang w:val="en-US" w:eastAsia="zh-CN"/>
        </w:rPr>
        <w:t>低</w:t>
      </w:r>
      <w:r>
        <w:rPr>
          <w:rFonts w:hint="eastAsia" w:ascii="宋体" w:hAnsi="宋体" w:eastAsia="宋体" w:cs="宋体"/>
          <w:color w:val="auto"/>
          <w:sz w:val="24"/>
          <w:szCs w:val="24"/>
          <w:vertAlign w:val="baseline"/>
          <w:lang w:val="en-US" w:eastAsia="zh-CN"/>
        </w:rPr>
        <w:t>、空气干燥，中温封孔料</w:t>
      </w:r>
      <w:r>
        <w:rPr>
          <w:rFonts w:hint="eastAsia" w:ascii="宋体" w:hAnsi="宋体" w:cs="宋体"/>
          <w:color w:val="auto"/>
          <w:sz w:val="24"/>
          <w:szCs w:val="24"/>
          <w:vertAlign w:val="baseline"/>
          <w:lang w:val="en-US" w:eastAsia="zh-CN"/>
        </w:rPr>
        <w:t>陈化</w:t>
      </w:r>
      <w:r>
        <w:rPr>
          <w:rFonts w:hint="eastAsia" w:ascii="宋体" w:hAnsi="宋体" w:eastAsia="宋体" w:cs="宋体"/>
          <w:color w:val="auto"/>
          <w:sz w:val="24"/>
          <w:szCs w:val="24"/>
          <w:vertAlign w:val="baseline"/>
          <w:lang w:val="en-US" w:eastAsia="zh-CN"/>
        </w:rPr>
        <w:t>慢，</w:t>
      </w:r>
      <w:r>
        <w:rPr>
          <w:rFonts w:hint="eastAsia" w:ascii="宋体" w:hAnsi="宋体" w:cs="宋体"/>
          <w:color w:val="auto"/>
          <w:sz w:val="24"/>
          <w:szCs w:val="24"/>
          <w:vertAlign w:val="baseline"/>
          <w:lang w:val="en-US" w:eastAsia="zh-CN"/>
        </w:rPr>
        <w:t>单独</w:t>
      </w:r>
      <w:r>
        <w:rPr>
          <w:rFonts w:hint="eastAsia" w:ascii="宋体" w:hAnsi="宋体" w:eastAsia="宋体" w:cs="宋体"/>
          <w:color w:val="auto"/>
          <w:sz w:val="24"/>
          <w:szCs w:val="24"/>
          <w:vertAlign w:val="baseline"/>
          <w:lang w:val="en-US" w:eastAsia="zh-CN"/>
        </w:rPr>
        <w:t>针对20</w:t>
      </w:r>
      <w:r>
        <w:rPr>
          <w:rFonts w:hint="eastAsia" w:ascii="宋体" w:hAnsi="宋体" w:eastAsia="宋体" w:cs="宋体"/>
          <w:color w:val="auto"/>
          <w:sz w:val="24"/>
          <w:szCs w:val="24"/>
          <w:lang w:val="en-US" w:eastAsia="zh-CN"/>
        </w:rPr>
        <w:t>µm</w:t>
      </w:r>
      <w:r>
        <w:rPr>
          <w:rFonts w:hint="eastAsia" w:ascii="宋体" w:hAnsi="宋体" w:cs="宋体"/>
          <w:color w:val="auto"/>
          <w:sz w:val="24"/>
          <w:szCs w:val="24"/>
          <w:lang w:val="en-US" w:eastAsia="zh-CN"/>
        </w:rPr>
        <w:t>及</w:t>
      </w:r>
      <w:r>
        <w:rPr>
          <w:rFonts w:hint="eastAsia" w:ascii="宋体" w:hAnsi="宋体" w:eastAsia="宋体" w:cs="宋体"/>
          <w:color w:val="auto"/>
          <w:sz w:val="24"/>
          <w:szCs w:val="24"/>
          <w:lang w:val="en-US" w:eastAsia="zh-CN"/>
        </w:rPr>
        <w:t>以上的高膜厚氧化料制定如下</w:t>
      </w:r>
      <w:r>
        <w:rPr>
          <w:rFonts w:hint="eastAsia" w:ascii="宋体" w:hAnsi="宋体" w:cs="宋体"/>
          <w:color w:val="auto"/>
          <w:sz w:val="24"/>
          <w:szCs w:val="24"/>
          <w:lang w:val="en-US" w:eastAsia="zh-CN"/>
        </w:rPr>
        <w:t>氧化及</w:t>
      </w:r>
      <w:r>
        <w:rPr>
          <w:rFonts w:hint="eastAsia" w:ascii="宋体" w:hAnsi="宋体" w:eastAsia="宋体" w:cs="宋体"/>
          <w:color w:val="auto"/>
          <w:sz w:val="24"/>
          <w:szCs w:val="24"/>
          <w:lang w:val="en-US" w:eastAsia="zh-CN"/>
        </w:rPr>
        <w:t>封孔工艺：</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高膜厚氧化料氧化工艺：电流密度：</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1.3A/dm2</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氧化槽液铝离子：≦</w:t>
      </w:r>
      <w:r>
        <w:rPr>
          <w:rFonts w:hint="eastAsia" w:ascii="宋体" w:hAnsi="宋体" w:cs="宋体"/>
          <w:color w:val="auto"/>
          <w:sz w:val="24"/>
          <w:szCs w:val="24"/>
          <w:lang w:val="en-US" w:eastAsia="zh-CN"/>
        </w:rPr>
        <w:t>25</w:t>
      </w:r>
      <w:r>
        <w:rPr>
          <w:rFonts w:hint="eastAsia" w:ascii="宋体" w:hAnsi="宋体" w:eastAsia="宋体" w:cs="宋体"/>
          <w:color w:val="auto"/>
          <w:sz w:val="24"/>
          <w:szCs w:val="24"/>
          <w:lang w:val="en-US" w:eastAsia="zh-CN"/>
        </w:rPr>
        <w:t>g/</w:t>
      </w:r>
      <w:r>
        <w:rPr>
          <w:rFonts w:hint="eastAsia" w:ascii="宋体" w:hAnsi="宋体" w:cs="宋体"/>
          <w:color w:val="auto"/>
          <w:sz w:val="24"/>
          <w:szCs w:val="24"/>
          <w:lang w:val="en-US" w:eastAsia="zh-CN"/>
        </w:rPr>
        <w:t>L，</w:t>
      </w:r>
      <w:r>
        <w:rPr>
          <w:rFonts w:hint="eastAsia" w:ascii="宋体" w:hAnsi="宋体" w:eastAsia="宋体" w:cs="宋体"/>
          <w:color w:val="auto"/>
          <w:sz w:val="24"/>
          <w:szCs w:val="24"/>
          <w:lang w:val="en-US" w:eastAsia="zh-CN"/>
        </w:rPr>
        <w:t>温度：≦20℃</w:t>
      </w:r>
      <w:r>
        <w:rPr>
          <w:rFonts w:hint="eastAsia" w:ascii="宋体" w:hAnsi="宋体" w:cs="宋体"/>
          <w:color w:val="auto"/>
          <w:sz w:val="24"/>
          <w:szCs w:val="24"/>
          <w:lang w:val="en-US" w:eastAsia="zh-CN"/>
        </w:rPr>
        <w:t>。</w:t>
      </w:r>
    </w:p>
    <w:p>
      <w:pPr>
        <w:keepNext w:val="0"/>
        <w:keepLines w:val="0"/>
        <w:pageBreakBefore w:val="0"/>
        <w:numPr>
          <w:ilvl w:val="0"/>
          <w:numId w:val="0"/>
        </w:numPr>
        <w:tabs>
          <w:tab w:val="left" w:pos="4395"/>
        </w:tabs>
        <w:kinsoku/>
        <w:wordWrap/>
        <w:overflowPunct/>
        <w:topLinePunct w:val="0"/>
        <w:autoSpaceDE/>
        <w:autoSpaceDN/>
        <w:bidi w:val="0"/>
        <w:adjustRightInd w:val="0"/>
        <w:snapToGrid w:val="0"/>
        <w:spacing w:line="400" w:lineRule="exact"/>
        <w:ind w:right="0" w:rightChars="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高膜厚氧化料封孔工艺：温度：60～62℃  PH：5.4～5.6  镍离子浓度：1.1～1.7g/</w:t>
      </w:r>
      <w:r>
        <w:rPr>
          <w:rFonts w:hint="eastAsia" w:ascii="宋体" w:hAnsi="宋体" w:cs="宋体"/>
          <w:color w:val="auto"/>
          <w:sz w:val="24"/>
          <w:szCs w:val="24"/>
          <w:lang w:val="en-US" w:eastAsia="zh-CN"/>
        </w:rPr>
        <w:t>L，</w:t>
      </w:r>
      <w:r>
        <w:rPr>
          <w:rFonts w:hint="eastAsia" w:ascii="宋体" w:hAnsi="宋体" w:eastAsia="宋体" w:cs="宋体"/>
          <w:color w:val="auto"/>
          <w:sz w:val="24"/>
          <w:szCs w:val="24"/>
          <w:lang w:val="en-US" w:eastAsia="zh-CN"/>
        </w:rPr>
        <w:t>时间：1.0µm/lmin</w:t>
      </w:r>
      <w:r>
        <w:rPr>
          <w:rFonts w:hint="eastAsia" w:ascii="宋体" w:hAnsi="宋体" w:cs="宋体"/>
          <w:color w:val="auto"/>
          <w:sz w:val="24"/>
          <w:szCs w:val="24"/>
          <w:lang w:val="en-US" w:eastAsia="zh-CN"/>
        </w:rPr>
        <w:t>。</w:t>
      </w:r>
    </w:p>
    <w:p>
      <w:pPr>
        <w:pStyle w:val="2"/>
        <w:rPr>
          <w:rFonts w:hint="eastAsia"/>
          <w:lang w:val="en-US" w:eastAsia="zh-CN"/>
        </w:rPr>
      </w:pPr>
    </w:p>
    <w:p>
      <w:pPr>
        <w:spacing w:line="400" w:lineRule="exact"/>
        <w:jc w:val="both"/>
        <w:rPr>
          <w:rFonts w:hint="eastAsia" w:ascii="宋体" w:hAnsi="宋体" w:eastAsia="宋体" w:cs="宋体"/>
          <w:b w:val="0"/>
          <w:bCs w:val="0"/>
          <w:color w:val="auto"/>
          <w:sz w:val="28"/>
          <w:szCs w:val="28"/>
        </w:rPr>
      </w:pPr>
    </w:p>
    <w:p>
      <w:pPr>
        <w:spacing w:line="400" w:lineRule="exact"/>
        <w:ind w:firstLine="3534" w:firstLineChars="1100"/>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r>
        <w:rPr>
          <w:rFonts w:hint="eastAsia" w:ascii="宋体" w:hAnsi="宋体" w:eastAsia="宋体" w:cs="宋体"/>
          <w:color w:val="auto"/>
          <w:sz w:val="28"/>
          <w:szCs w:val="28"/>
        </w:rPr>
        <w:t xml:space="preserve">        </w:t>
      </w: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tbl>
      <w:tblPr>
        <w:tblStyle w:val="9"/>
        <w:tblpPr w:leftFromText="180" w:rightFromText="180" w:vertAnchor="page" w:horzAnchor="page" w:tblpX="1875" w:tblpY="438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rPr>
          <w:rFonts w:hint="eastAsia"/>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pStyle w:val="2"/>
        <w:jc w:val="center"/>
        <w:rPr>
          <w:rFonts w:hint="eastAsia"/>
          <w:lang w:val="en-US" w:eastAsia="zh-CN"/>
        </w:rPr>
      </w:pPr>
      <w:r>
        <w:rPr>
          <w:rFonts w:hint="eastAsia"/>
          <w:b w:val="0"/>
          <w:bCs w:val="0"/>
          <w:sz w:val="24"/>
          <w:szCs w:val="24"/>
          <w:lang w:val="en-US" w:eastAsia="zh-CN"/>
        </w:rPr>
        <w:t xml:space="preserve">     （报价周期：按年报价）</w:t>
      </w:r>
    </w:p>
    <w:tbl>
      <w:tblPr>
        <w:tblStyle w:val="9"/>
        <w:tblW w:w="92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23"/>
        <w:gridCol w:w="2302"/>
        <w:gridCol w:w="2530"/>
        <w:gridCol w:w="508"/>
        <w:gridCol w:w="2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投标单位名称</w:t>
            </w:r>
          </w:p>
        </w:tc>
        <w:tc>
          <w:tcPr>
            <w:tcW w:w="76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投标单位地址</w:t>
            </w:r>
          </w:p>
        </w:tc>
        <w:tc>
          <w:tcPr>
            <w:tcW w:w="76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联系人</w:t>
            </w:r>
          </w:p>
        </w:tc>
        <w:tc>
          <w:tcPr>
            <w:tcW w:w="23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联系电话</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产品名称</w:t>
            </w:r>
          </w:p>
        </w:tc>
        <w:tc>
          <w:tcPr>
            <w:tcW w:w="2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型号</w:t>
            </w: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bidi="ar"/>
              </w:rPr>
              <w:t>广东华昌</w:t>
            </w:r>
            <w:r>
              <w:rPr>
                <w:rFonts w:hint="eastAsia" w:ascii="宋体" w:hAnsi="宋体" w:eastAsia="宋体" w:cs="宋体"/>
                <w:i w:val="0"/>
                <w:color w:val="333333"/>
                <w:kern w:val="0"/>
                <w:sz w:val="24"/>
                <w:szCs w:val="24"/>
                <w:u w:val="none"/>
                <w:lang w:val="en-US" w:eastAsia="zh-CN" w:bidi="ar"/>
              </w:rPr>
              <w:t>承包价</w:t>
            </w:r>
            <w:r>
              <w:rPr>
                <w:rFonts w:hint="eastAsia" w:ascii="宋体" w:hAnsi="宋体" w:cs="宋体"/>
                <w:i w:val="0"/>
                <w:color w:val="333333"/>
                <w:kern w:val="0"/>
                <w:sz w:val="24"/>
                <w:szCs w:val="24"/>
                <w:u w:val="none"/>
                <w:lang w:val="en-US" w:eastAsia="zh-CN" w:bidi="ar"/>
              </w:rPr>
              <w:t xml:space="preserve">     </w:t>
            </w:r>
            <w:r>
              <w:rPr>
                <w:rFonts w:hint="eastAsia" w:ascii="宋体" w:hAnsi="宋体" w:eastAsia="宋体" w:cs="宋体"/>
                <w:i w:val="0"/>
                <w:color w:val="333333"/>
                <w:kern w:val="0"/>
                <w:sz w:val="24"/>
                <w:szCs w:val="24"/>
                <w:u w:val="none"/>
                <w:lang w:val="en-US" w:eastAsia="zh-CN" w:bidi="ar"/>
              </w:rPr>
              <w:t>（元/吨）</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333333"/>
                <w:kern w:val="0"/>
                <w:sz w:val="24"/>
                <w:szCs w:val="24"/>
                <w:u w:val="none"/>
                <w:lang w:val="en-US" w:eastAsia="zh-CN" w:bidi="ar"/>
              </w:rPr>
              <w:t>江苏华昌</w:t>
            </w:r>
            <w:r>
              <w:rPr>
                <w:rFonts w:hint="eastAsia" w:ascii="宋体" w:hAnsi="宋体" w:eastAsia="宋体" w:cs="宋体"/>
                <w:i w:val="0"/>
                <w:color w:val="333333"/>
                <w:kern w:val="0"/>
                <w:sz w:val="24"/>
                <w:szCs w:val="24"/>
                <w:u w:val="none"/>
                <w:lang w:val="en-US" w:eastAsia="zh-CN" w:bidi="ar"/>
              </w:rPr>
              <w:t>承包价         （元/吨）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bidi="ar"/>
              </w:rPr>
              <w:t>中温封孔剂</w:t>
            </w:r>
          </w:p>
        </w:tc>
        <w:tc>
          <w:tcPr>
            <w:tcW w:w="2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lang w:val="en-US"/>
              </w:rPr>
            </w:pPr>
            <w:r>
              <w:rPr>
                <w:rFonts w:hint="eastAsia" w:ascii="宋体" w:hAnsi="宋体" w:cs="宋体"/>
                <w:i w:val="0"/>
                <w:color w:val="333333"/>
                <w:kern w:val="0"/>
                <w:sz w:val="24"/>
                <w:szCs w:val="24"/>
                <w:u w:val="none"/>
                <w:lang w:val="en-US" w:eastAsia="zh-CN" w:bidi="ar"/>
              </w:rPr>
              <w:t>立式线</w:t>
            </w: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4"/>
                <w:szCs w:val="24"/>
                <w:u w:val="none"/>
              </w:rPr>
            </w:pP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bidi="ar"/>
              </w:rPr>
              <w:t>中温封孔剂</w:t>
            </w:r>
          </w:p>
        </w:tc>
        <w:tc>
          <w:tcPr>
            <w:tcW w:w="2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bidi="ar"/>
              </w:rPr>
              <w:t>卧式线</w:t>
            </w: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4"/>
                <w:szCs w:val="24"/>
                <w:u w:val="none"/>
              </w:rPr>
            </w:pP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FF0000"/>
                <w:sz w:val="24"/>
                <w:szCs w:val="24"/>
                <w:u w:val="none"/>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FF0000"/>
                <w:sz w:val="24"/>
                <w:szCs w:val="24"/>
                <w:u w:val="none"/>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162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备注：</w:t>
            </w:r>
          </w:p>
        </w:tc>
        <w:tc>
          <w:tcPr>
            <w:tcW w:w="2302" w:type="dxa"/>
            <w:tcBorders>
              <w:top w:val="single" w:color="000000" w:sz="4" w:space="0"/>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53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805"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28" w:hRule="atLeast"/>
        </w:trPr>
        <w:tc>
          <w:tcPr>
            <w:tcW w:w="9260" w:type="dxa"/>
            <w:gridSpan w:val="5"/>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1、产能结算方式：包吨结算价格，按甲方使用乙方所提供的产品生产的铝型材实际入仓的成品重量计算实际货款。实际入库成品重量是指已扣除所有相关不良产品后的重量。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9260" w:type="dxa"/>
            <w:gridSpan w:val="5"/>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2、双方同意结算时按甲方ERP系统记载的数据作为依据。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9260" w:type="dxa"/>
            <w:gridSpan w:val="5"/>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623"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302" w:type="dxa"/>
            <w:shd w:val="clear" w:color="auto" w:fill="auto"/>
            <w:vAlign w:val="center"/>
          </w:tcPr>
          <w:p>
            <w:pPr>
              <w:jc w:val="center"/>
              <w:rPr>
                <w:rFonts w:hint="eastAsia" w:ascii="宋体" w:hAnsi="宋体" w:eastAsia="宋体" w:cs="宋体"/>
                <w:i w:val="0"/>
                <w:color w:val="000000"/>
                <w:sz w:val="20"/>
                <w:szCs w:val="20"/>
                <w:u w:val="none"/>
              </w:rPr>
            </w:pPr>
          </w:p>
        </w:tc>
        <w:tc>
          <w:tcPr>
            <w:tcW w:w="3038"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9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623"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302" w:type="dxa"/>
            <w:shd w:val="clear" w:color="auto" w:fill="auto"/>
            <w:vAlign w:val="center"/>
          </w:tcPr>
          <w:p>
            <w:pPr>
              <w:jc w:val="center"/>
              <w:rPr>
                <w:rFonts w:hint="eastAsia" w:ascii="宋体" w:hAnsi="宋体" w:eastAsia="宋体" w:cs="宋体"/>
                <w:i w:val="0"/>
                <w:color w:val="000000"/>
                <w:sz w:val="20"/>
                <w:szCs w:val="20"/>
                <w:u w:val="none"/>
              </w:rPr>
            </w:pPr>
          </w:p>
        </w:tc>
        <w:tc>
          <w:tcPr>
            <w:tcW w:w="3038"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9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623"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302" w:type="dxa"/>
            <w:shd w:val="clear" w:color="auto" w:fill="auto"/>
            <w:vAlign w:val="center"/>
          </w:tcPr>
          <w:p>
            <w:pPr>
              <w:jc w:val="center"/>
              <w:rPr>
                <w:rFonts w:hint="eastAsia" w:ascii="宋体" w:hAnsi="宋体" w:eastAsia="宋体" w:cs="宋体"/>
                <w:i w:val="0"/>
                <w:color w:val="000000"/>
                <w:sz w:val="20"/>
                <w:szCs w:val="20"/>
                <w:u w:val="none"/>
              </w:rPr>
            </w:pPr>
          </w:p>
        </w:tc>
        <w:tc>
          <w:tcPr>
            <w:tcW w:w="3038"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9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1" w:hRule="atLeast"/>
        </w:trPr>
        <w:tc>
          <w:tcPr>
            <w:tcW w:w="9260"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 xml:space="preserve">       报价单位(盖章):      </w:t>
            </w:r>
          </w:p>
          <w:p>
            <w:pPr>
              <w:pStyle w:val="2"/>
              <w:rPr>
                <w:rFonts w:hint="eastAsia"/>
              </w:rPr>
            </w:pPr>
          </w:p>
        </w:tc>
      </w:tr>
    </w:tbl>
    <w:p>
      <w:pPr>
        <w:spacing w:line="400" w:lineRule="exact"/>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pStyle w:val="14"/>
        <w:spacing w:line="480" w:lineRule="exact"/>
        <w:jc w:val="both"/>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lucida Grande">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054735"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5473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3.05pt;mso-position-horizontal:center;mso-position-horizontal-relative:margin;z-index:251658240;mso-width-relative:page;mso-height-relative:page;" filled="f" stroked="f" coordsize="21600,21600" o:gfxdata="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rm6j30wAAAAUBAAAP&#10;AAAAAAAAAAEAIAAAACIAAABkcnMvZG93bnJldi54bWxQSwECFAAUAAAACACHTuJAqC2mkh0CAAAV&#10;BAAADgAAAAAAAAABACAAAAAiAQAAZHJzL2Uyb0RvYy54bWxQSwUGAAAAAAYABgBZAQAAsQ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0393174"/>
    <w:rsid w:val="018274E9"/>
    <w:rsid w:val="01B6352C"/>
    <w:rsid w:val="04220776"/>
    <w:rsid w:val="0835311B"/>
    <w:rsid w:val="0C9F4F2B"/>
    <w:rsid w:val="0CB46F8E"/>
    <w:rsid w:val="0D562032"/>
    <w:rsid w:val="111D3181"/>
    <w:rsid w:val="1170470B"/>
    <w:rsid w:val="117C3946"/>
    <w:rsid w:val="11A6478B"/>
    <w:rsid w:val="13E62ABB"/>
    <w:rsid w:val="178E0437"/>
    <w:rsid w:val="183770BA"/>
    <w:rsid w:val="196E5083"/>
    <w:rsid w:val="1A0C5C19"/>
    <w:rsid w:val="22D20330"/>
    <w:rsid w:val="243B15B2"/>
    <w:rsid w:val="25DA5630"/>
    <w:rsid w:val="26A175F7"/>
    <w:rsid w:val="26CC2D58"/>
    <w:rsid w:val="2736502A"/>
    <w:rsid w:val="29194B88"/>
    <w:rsid w:val="295B189E"/>
    <w:rsid w:val="308D28CC"/>
    <w:rsid w:val="341654B9"/>
    <w:rsid w:val="34993472"/>
    <w:rsid w:val="34A33331"/>
    <w:rsid w:val="35B16C21"/>
    <w:rsid w:val="36851351"/>
    <w:rsid w:val="3D0326FB"/>
    <w:rsid w:val="3D616336"/>
    <w:rsid w:val="3E9A62DA"/>
    <w:rsid w:val="4171638E"/>
    <w:rsid w:val="443830D5"/>
    <w:rsid w:val="4B6D51DA"/>
    <w:rsid w:val="50313102"/>
    <w:rsid w:val="50863CC1"/>
    <w:rsid w:val="54647AB4"/>
    <w:rsid w:val="54BC339E"/>
    <w:rsid w:val="55976353"/>
    <w:rsid w:val="58C75675"/>
    <w:rsid w:val="59D6480C"/>
    <w:rsid w:val="5D2366E3"/>
    <w:rsid w:val="60595451"/>
    <w:rsid w:val="659767C2"/>
    <w:rsid w:val="6A60419D"/>
    <w:rsid w:val="6C5A2853"/>
    <w:rsid w:val="6E1E0768"/>
    <w:rsid w:val="6E403D55"/>
    <w:rsid w:val="715605ED"/>
    <w:rsid w:val="74F67EA7"/>
    <w:rsid w:val="75751C4C"/>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2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2024-11-29T07:47:13Z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